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BFF" w:rsidRPr="00DC4C5C" w:rsidRDefault="00DA2BFF" w:rsidP="00DC4C5C">
      <w:pPr>
        <w:spacing w:line="240" w:lineRule="auto"/>
        <w:jc w:val="center"/>
        <w:rPr>
          <w:rFonts w:ascii="Times New Roman" w:hAnsi="Times New Roman"/>
          <w:b/>
          <w:bCs/>
          <w:u w:val="single"/>
        </w:rPr>
      </w:pPr>
      <w:r>
        <w:rPr>
          <w:rFonts w:ascii="Times New Roman" w:hAnsi="Times New Roman"/>
          <w:b/>
          <w:bCs/>
          <w:u w:val="single"/>
        </w:rPr>
        <w:t>Diagnostyka laboratoryjna w pediatrii – kierunek Lekraski III rok - ćwiczenia</w:t>
      </w:r>
    </w:p>
    <w:p w:rsidR="00DA2BFF" w:rsidRDefault="00DA2BFF" w:rsidP="00DC4C5C">
      <w:pPr>
        <w:jc w:val="both"/>
      </w:pPr>
      <w:r>
        <w:t xml:space="preserve">W ramach z ćwiczeń z Podstaw Diagnostyki Laboratoryjnej studenci kierunku lekarskiego powinni zapoznać się z działaniem pracowni znajdujących się w Centralnym Laboratorium Szpitala Klinicznego im. Karola Jonschera. Przede wszystkim należy zwrócić uwagę na odrębności, które wynikają </w:t>
      </w:r>
      <w:r>
        <w:br/>
        <w:t>ze specyfiki szpitala dziecięcego w stosunku do szpitali zajmujących się osobami dorosłymi.</w:t>
      </w:r>
    </w:p>
    <w:p w:rsidR="00DA2BFF" w:rsidRPr="00086DFD" w:rsidRDefault="00DA2BFF" w:rsidP="00AE7AAB">
      <w:pPr>
        <w:pStyle w:val="ListParagraph"/>
        <w:numPr>
          <w:ilvl w:val="0"/>
          <w:numId w:val="2"/>
        </w:numPr>
        <w:rPr>
          <w:b/>
          <w:bCs/>
        </w:rPr>
      </w:pPr>
      <w:r w:rsidRPr="00086DFD">
        <w:rPr>
          <w:b/>
          <w:bCs/>
        </w:rPr>
        <w:t>Przyjmowanie i pob</w:t>
      </w:r>
      <w:r>
        <w:rPr>
          <w:b/>
          <w:bCs/>
        </w:rPr>
        <w:t>ieranie krwi pacjentów</w:t>
      </w:r>
      <w:r w:rsidRPr="00086DFD">
        <w:rPr>
          <w:b/>
          <w:bCs/>
        </w:rPr>
        <w:t>:</w:t>
      </w:r>
    </w:p>
    <w:p w:rsidR="00DA2BFF" w:rsidRDefault="00DA2BFF" w:rsidP="00AE7AAB">
      <w:pPr>
        <w:ind w:left="360"/>
      </w:pPr>
      <w:r>
        <w:t>Postępowanie z materiałem dostarczonym do laboratorium:</w:t>
      </w:r>
    </w:p>
    <w:p w:rsidR="00DA2BFF" w:rsidRDefault="00DA2BFF" w:rsidP="008D6185">
      <w:pPr>
        <w:pStyle w:val="ListParagraph"/>
        <w:numPr>
          <w:ilvl w:val="1"/>
          <w:numId w:val="2"/>
        </w:numPr>
        <w:ind w:left="851"/>
      </w:pPr>
      <w:r>
        <w:t>Badania są rejestrowane na oddziałach w systemie elektronicznym</w:t>
      </w:r>
    </w:p>
    <w:p w:rsidR="00DA2BFF" w:rsidRDefault="00DA2BFF" w:rsidP="008D6185">
      <w:pPr>
        <w:pStyle w:val="ListParagraph"/>
        <w:numPr>
          <w:ilvl w:val="1"/>
          <w:numId w:val="2"/>
        </w:numPr>
        <w:ind w:left="851"/>
      </w:pPr>
      <w:r>
        <w:t xml:space="preserve">W laboratorium przyjmowanie materiałów odbywa się za pomocą skanowania kodów kreskowych obecnych na każdej próbce </w:t>
      </w:r>
    </w:p>
    <w:p w:rsidR="00DA2BFF" w:rsidRDefault="00DA2BFF" w:rsidP="000D7B14">
      <w:pPr>
        <w:pStyle w:val="ListParagraph"/>
        <w:numPr>
          <w:ilvl w:val="1"/>
          <w:numId w:val="2"/>
        </w:numPr>
        <w:ind w:left="851"/>
      </w:pPr>
      <w:r>
        <w:t>Następnie następuje segregacja materiału na poszczególne pracownie</w:t>
      </w:r>
    </w:p>
    <w:p w:rsidR="00DA2BFF" w:rsidRDefault="00DA2BFF" w:rsidP="008D6185">
      <w:pPr>
        <w:pStyle w:val="ListParagraph"/>
        <w:numPr>
          <w:ilvl w:val="1"/>
          <w:numId w:val="2"/>
        </w:numPr>
        <w:ind w:left="851"/>
      </w:pPr>
      <w:r>
        <w:t>Wyniki  dostępne w systemie elektronicznym (wynik grupy krwi jest również dostępny w wersji papierowej dla lekarza i dla pacjenta; przed toczeniem grupę krwi należy oznaczyć dwukrotnie z dwóch niezależnych wkłuć: pierwszy- niepotwierdzony, drugi- potwierdzony)</w:t>
      </w:r>
    </w:p>
    <w:p w:rsidR="00DA2BFF" w:rsidRDefault="00DA2BFF" w:rsidP="007556DC">
      <w:pPr>
        <w:ind w:left="491"/>
      </w:pPr>
      <w:r>
        <w:t xml:space="preserve">Pobieranie krwi włośniczkowej przez diagnostów laboratoryjnych w laboratorium i na oddziałach: </w:t>
      </w:r>
    </w:p>
    <w:p w:rsidR="00DA2BFF" w:rsidRDefault="00DA2BFF" w:rsidP="007556DC">
      <w:pPr>
        <w:pStyle w:val="ListParagraph"/>
        <w:numPr>
          <w:ilvl w:val="1"/>
          <w:numId w:val="2"/>
        </w:numPr>
        <w:ind w:left="851" w:hanging="284"/>
      </w:pPr>
      <w:r>
        <w:t>EDTA: morfologia, glikemia</w:t>
      </w:r>
    </w:p>
    <w:p w:rsidR="00DA2BFF" w:rsidRDefault="00DA2BFF" w:rsidP="00B6782E">
      <w:pPr>
        <w:pStyle w:val="ListParagraph"/>
        <w:numPr>
          <w:ilvl w:val="1"/>
          <w:numId w:val="2"/>
        </w:numPr>
        <w:ind w:left="851" w:hanging="284"/>
      </w:pPr>
      <w:r>
        <w:t xml:space="preserve">Heparyna: gazometria </w:t>
      </w:r>
    </w:p>
    <w:p w:rsidR="00DA2BFF" w:rsidRPr="00B6782E" w:rsidRDefault="00DA2BFF" w:rsidP="00B6782E">
      <w:pPr>
        <w:pStyle w:val="ListParagraph"/>
        <w:numPr>
          <w:ilvl w:val="1"/>
          <w:numId w:val="2"/>
        </w:numPr>
        <w:ind w:left="851" w:hanging="284"/>
        <w:rPr>
          <w:i/>
          <w:iCs/>
        </w:rPr>
      </w:pPr>
      <w:r>
        <w:t>Zalecenia</w:t>
      </w:r>
      <w:r w:rsidRPr="00B6782E">
        <w:rPr>
          <w:i/>
          <w:iCs/>
        </w:rPr>
        <w:t xml:space="preserve">: </w:t>
      </w:r>
      <w:hyperlink r:id="rId7" w:history="1">
        <w:r w:rsidRPr="00242CFB">
          <w:rPr>
            <w:rStyle w:val="Hyperlink"/>
            <w:rFonts w:ascii="Times New Roman" w:hAnsi="Times New Roman"/>
            <w:i/>
            <w:iCs/>
          </w:rPr>
          <w:t>Simundic A.M., Bölenius K., Cadamuro J. et al. Wspólne zalecenia EFLM-COLABIOCLI dotyczące pobierania krwi żylnej, Diagn Lab. 2018; 54(4): 291-312</w:t>
        </w:r>
      </w:hyperlink>
    </w:p>
    <w:p w:rsidR="00DA2BFF" w:rsidRPr="00B6782E" w:rsidRDefault="00DA2BFF" w:rsidP="00B6782E">
      <w:pPr>
        <w:pStyle w:val="ListParagraph"/>
        <w:ind w:left="851"/>
        <w:rPr>
          <w:i/>
          <w:iCs/>
        </w:rPr>
      </w:pPr>
    </w:p>
    <w:p w:rsidR="00DA2BFF" w:rsidRDefault="00DA2BFF" w:rsidP="00106313">
      <w:pPr>
        <w:pStyle w:val="ListParagraph"/>
        <w:ind w:left="360"/>
      </w:pPr>
      <w:r>
        <w:t xml:space="preserve">Przesiew noworodkowy </w:t>
      </w:r>
    </w:p>
    <w:p w:rsidR="00DA2BFF" w:rsidRPr="00106313" w:rsidRDefault="00DA2BFF" w:rsidP="00106313">
      <w:pPr>
        <w:pStyle w:val="ListParagraph"/>
        <w:ind w:left="360"/>
        <w:rPr>
          <w:rStyle w:val="Hyperlink"/>
          <w:color w:val="auto"/>
          <w:u w:val="none"/>
        </w:rPr>
      </w:pPr>
      <w:hyperlink r:id="rId8" w:history="1">
        <w:r>
          <w:rPr>
            <w:rStyle w:val="Hyperlink"/>
          </w:rPr>
          <w:t>https://www.mp.pl/pediatria/praktyka-kliniczna/badania-laboratoryjne/196187,laboratoryjne-badania-przesiewowe-noworodkow-w-polsce</w:t>
        </w:r>
      </w:hyperlink>
    </w:p>
    <w:p w:rsidR="00DA2BFF" w:rsidRPr="00636660" w:rsidRDefault="00DA2BFF" w:rsidP="00B6782E">
      <w:pPr>
        <w:pStyle w:val="ListParagraph"/>
        <w:ind w:left="360"/>
        <w:rPr>
          <w:rStyle w:val="Hyperlink"/>
        </w:rPr>
      </w:pPr>
      <w:r w:rsidRPr="00636660">
        <w:rPr>
          <w:rStyle w:val="Hyperlink"/>
        </w:rPr>
        <w:t>http://przesiew.imid.med.pl/badaniaprzesiewowe.html</w:t>
      </w:r>
    </w:p>
    <w:p w:rsidR="00DA2BFF" w:rsidRDefault="00DA2BFF" w:rsidP="00B6782E">
      <w:pPr>
        <w:pStyle w:val="ListParagraph"/>
        <w:ind w:left="360"/>
      </w:pPr>
      <w:r w:rsidRPr="00DC75A6">
        <w:t xml:space="preserve">Choroby wrodzone </w:t>
      </w:r>
      <w:r>
        <w:t>włączone</w:t>
      </w:r>
      <w:r w:rsidRPr="00DC75A6">
        <w:t xml:space="preserve"> do programu badań przesiewowych</w:t>
      </w:r>
      <w:r>
        <w:t>:</w:t>
      </w:r>
    </w:p>
    <w:p w:rsidR="00DA2BFF" w:rsidRDefault="00DA2BFF" w:rsidP="00DC75A6">
      <w:pPr>
        <w:pStyle w:val="ListParagraph"/>
        <w:numPr>
          <w:ilvl w:val="0"/>
          <w:numId w:val="6"/>
        </w:numPr>
      </w:pPr>
      <w:r>
        <w:t xml:space="preserve">Fenyloketonuria </w:t>
      </w:r>
    </w:p>
    <w:p w:rsidR="00DA2BFF" w:rsidRDefault="00DA2BFF" w:rsidP="00DC75A6">
      <w:pPr>
        <w:pStyle w:val="ListParagraph"/>
        <w:numPr>
          <w:ilvl w:val="0"/>
          <w:numId w:val="6"/>
        </w:numPr>
      </w:pPr>
      <w:r>
        <w:t>Wrodzona niedoczynność tarczycy</w:t>
      </w:r>
    </w:p>
    <w:p w:rsidR="00DA2BFF" w:rsidRDefault="00DA2BFF" w:rsidP="00DC75A6">
      <w:pPr>
        <w:pStyle w:val="ListParagraph"/>
        <w:numPr>
          <w:ilvl w:val="0"/>
          <w:numId w:val="6"/>
        </w:numPr>
      </w:pPr>
      <w:r>
        <w:t>Mukowiscydoza</w:t>
      </w:r>
    </w:p>
    <w:p w:rsidR="00DA2BFF" w:rsidRDefault="00DA2BFF" w:rsidP="00DC75A6">
      <w:pPr>
        <w:pStyle w:val="ListParagraph"/>
        <w:numPr>
          <w:ilvl w:val="0"/>
          <w:numId w:val="6"/>
        </w:numPr>
      </w:pPr>
      <w:r>
        <w:t xml:space="preserve">Deficyt biotynidazy </w:t>
      </w:r>
    </w:p>
    <w:p w:rsidR="00DA2BFF" w:rsidRDefault="00DA2BFF" w:rsidP="00DC75A6">
      <w:pPr>
        <w:pStyle w:val="ListParagraph"/>
        <w:numPr>
          <w:ilvl w:val="0"/>
          <w:numId w:val="6"/>
        </w:numPr>
      </w:pPr>
      <w:r>
        <w:t>Wrodzony przerost nadnerczy</w:t>
      </w:r>
    </w:p>
    <w:p w:rsidR="00DA2BFF" w:rsidRDefault="00DA2BFF" w:rsidP="00DC75A6">
      <w:pPr>
        <w:pStyle w:val="ListParagraph"/>
        <w:numPr>
          <w:ilvl w:val="0"/>
          <w:numId w:val="6"/>
        </w:numPr>
      </w:pPr>
      <w:r>
        <w:t>Rzadkie wady metaboliczne (zaburzenia metabolizmu aminokwasów, zaburzenia utleniania kwasów tłuszczowych, acydurie organiczne)</w:t>
      </w:r>
    </w:p>
    <w:p w:rsidR="00DA2BFF" w:rsidRDefault="00DA2BFF" w:rsidP="00DC75A6">
      <w:pPr>
        <w:pStyle w:val="ListParagraph"/>
        <w:numPr>
          <w:ilvl w:val="0"/>
          <w:numId w:val="6"/>
        </w:numPr>
      </w:pPr>
      <w:r>
        <w:t>Rdzeniowy zanik mięśni (SMA)</w:t>
      </w:r>
    </w:p>
    <w:p w:rsidR="00DA2BFF" w:rsidRDefault="00DA2BFF" w:rsidP="00681131">
      <w:r>
        <w:br w:type="page"/>
        <w:t>Próba potowa – opis metody</w:t>
      </w:r>
      <w:r w:rsidRPr="00E057A1">
        <w:t xml:space="preserve"> jontoforezy pilokarpinowej</w:t>
      </w:r>
      <w:r>
        <w:t xml:space="preserve">: </w:t>
      </w:r>
    </w:p>
    <w:p w:rsidR="00DA2BFF" w:rsidRDefault="00DA2BFF" w:rsidP="007556DC">
      <w:pPr>
        <w:pStyle w:val="ListParagraph"/>
        <w:numPr>
          <w:ilvl w:val="2"/>
          <w:numId w:val="2"/>
        </w:numPr>
        <w:ind w:left="851" w:hanging="284"/>
      </w:pPr>
      <w:r>
        <w:t xml:space="preserve">Diagnostyka mukowiscydozy </w:t>
      </w:r>
    </w:p>
    <w:p w:rsidR="00DA2BFF" w:rsidRDefault="00DA2BFF" w:rsidP="007556DC">
      <w:pPr>
        <w:pStyle w:val="ListParagraph"/>
        <w:numPr>
          <w:ilvl w:val="2"/>
          <w:numId w:val="2"/>
        </w:numPr>
        <w:ind w:left="851" w:hanging="284"/>
      </w:pPr>
      <w:r>
        <w:t>Dodatnia gdy stężenie chlorków w pocie ≥60mmol/l (około 30/40mmol/l wynik niepewny, najczęściej powtarzany)</w:t>
      </w:r>
    </w:p>
    <w:p w:rsidR="00DA2BFF" w:rsidRDefault="00DA2BFF" w:rsidP="007556DC">
      <w:pPr>
        <w:pStyle w:val="ListParagraph"/>
        <w:numPr>
          <w:ilvl w:val="2"/>
          <w:numId w:val="2"/>
        </w:numPr>
        <w:ind w:left="851" w:hanging="284"/>
      </w:pPr>
      <w:r>
        <w:t>Stymulacja wydzielania potu poprzez wykorzystanie jontoforezy pilokarpinowej z zastosowanie prądu o natężeniu maksymalnie 5 mA (pilokarpinę wprowadza się pod skórę poprzez przyłożenie elektrod: czerwonej nad nadgarstkiem oraz elektrody czarnej w części ramiennej ręki, aby zamknąć obwód prądu)</w:t>
      </w:r>
    </w:p>
    <w:p w:rsidR="00DA2BFF" w:rsidRDefault="00DA2BFF" w:rsidP="007556DC">
      <w:pPr>
        <w:pStyle w:val="ListParagraph"/>
        <w:numPr>
          <w:ilvl w:val="2"/>
          <w:numId w:val="2"/>
        </w:numPr>
        <w:ind w:left="851" w:hanging="284"/>
      </w:pPr>
      <w:r>
        <w:t>Próbkę potu zbiera się na bibułkę, według zaleceń przez pół godziny</w:t>
      </w:r>
    </w:p>
    <w:p w:rsidR="00DA2BFF" w:rsidRDefault="00DA2BFF" w:rsidP="007556DC">
      <w:pPr>
        <w:pStyle w:val="ListParagraph"/>
        <w:numPr>
          <w:ilvl w:val="2"/>
          <w:numId w:val="2"/>
        </w:numPr>
        <w:ind w:left="851" w:hanging="284"/>
      </w:pPr>
      <w:r>
        <w:t>Przed badaniem czysta bibułka wraz z pojemnikiem jest ważona (waga zapisana na pojemniku)</w:t>
      </w:r>
    </w:p>
    <w:p w:rsidR="00DA2BFF" w:rsidRDefault="00DA2BFF" w:rsidP="007556DC">
      <w:pPr>
        <w:pStyle w:val="ListParagraph"/>
        <w:numPr>
          <w:ilvl w:val="2"/>
          <w:numId w:val="2"/>
        </w:numPr>
        <w:ind w:left="851" w:hanging="284"/>
      </w:pPr>
      <w:r>
        <w:t>Po zbiórce potu pojemnik z bibułką jest ponownie ważony (należy zebrać minimum 100 mg potu)</w:t>
      </w:r>
    </w:p>
    <w:p w:rsidR="00DA2BFF" w:rsidRDefault="00DA2BFF" w:rsidP="007556DC">
      <w:pPr>
        <w:pStyle w:val="ListParagraph"/>
        <w:numPr>
          <w:ilvl w:val="2"/>
          <w:numId w:val="2"/>
        </w:numPr>
        <w:ind w:left="851" w:hanging="284"/>
      </w:pPr>
      <w:r>
        <w:t>Bibułka w pojemniku jest zalewana 10 ml wody destylowanej i odstawiana do następnego dnia do lodówki (do całkowitego wypłukania chlorków)</w:t>
      </w:r>
    </w:p>
    <w:p w:rsidR="00DA2BFF" w:rsidRDefault="00DA2BFF" w:rsidP="00B6782E">
      <w:pPr>
        <w:pStyle w:val="ListParagraph"/>
        <w:numPr>
          <w:ilvl w:val="2"/>
          <w:numId w:val="2"/>
        </w:numPr>
        <w:ind w:left="851" w:hanging="284"/>
      </w:pPr>
      <w:r>
        <w:t>Następnego dnia próbka jest miareczkowana azotanem rtęci i ze wzoru wyliczane jest stężenie chlorków</w:t>
      </w:r>
    </w:p>
    <w:p w:rsidR="00DA2BFF" w:rsidRPr="00003E19" w:rsidRDefault="00DA2BFF" w:rsidP="00984422">
      <w:pPr>
        <w:ind w:left="426"/>
        <w:jc w:val="both"/>
        <w:rPr>
          <w:color w:val="000000"/>
        </w:rPr>
      </w:pPr>
      <w:r w:rsidRPr="00003E19">
        <w:rPr>
          <w:color w:val="000000"/>
        </w:rPr>
        <w:t xml:space="preserve">Próba potowa </w:t>
      </w:r>
      <w:r>
        <w:rPr>
          <w:color w:val="000000"/>
        </w:rPr>
        <w:t>–</w:t>
      </w:r>
      <w:r w:rsidRPr="00003E19">
        <w:rPr>
          <w:color w:val="000000"/>
        </w:rPr>
        <w:t xml:space="preserve"> opis</w:t>
      </w:r>
      <w:r>
        <w:rPr>
          <w:color w:val="000000"/>
        </w:rPr>
        <w:t xml:space="preserve"> badania</w:t>
      </w:r>
    </w:p>
    <w:p w:rsidR="00DA2BFF" w:rsidRPr="00003E19" w:rsidRDefault="00DA2BFF" w:rsidP="00984422">
      <w:pPr>
        <w:pStyle w:val="NormalWeb"/>
        <w:shd w:val="clear" w:color="auto" w:fill="FFFFFF"/>
        <w:ind w:left="426"/>
        <w:jc w:val="both"/>
        <w:rPr>
          <w:rFonts w:ascii="Calibri" w:hAnsi="Calibri" w:cs="Calibri"/>
          <w:color w:val="000000"/>
          <w:sz w:val="22"/>
          <w:szCs w:val="22"/>
        </w:rPr>
      </w:pPr>
      <w:r w:rsidRPr="00003E19">
        <w:rPr>
          <w:rFonts w:ascii="Calibri" w:hAnsi="Calibri" w:cs="Calibri"/>
          <w:color w:val="000000"/>
          <w:sz w:val="22"/>
          <w:szCs w:val="22"/>
        </w:rPr>
        <w:t>Pot pierwotny wytwarzany w głębokiej części kłębków gruczołów potowych jest izotoniczny względem osocza. Zawiera około 100 mmol/l jonów chlorkowych (Cl</w:t>
      </w:r>
      <w:r w:rsidRPr="00003E19">
        <w:rPr>
          <w:rFonts w:ascii="Calibri" w:hAnsi="Calibri" w:cs="Calibri"/>
          <w:color w:val="000000"/>
          <w:sz w:val="22"/>
          <w:szCs w:val="22"/>
          <w:vertAlign w:val="superscript"/>
        </w:rPr>
        <w:t>–</w:t>
      </w:r>
      <w:r w:rsidRPr="00003E19">
        <w:rPr>
          <w:rFonts w:ascii="Calibri" w:hAnsi="Calibri" w:cs="Calibri"/>
          <w:color w:val="000000"/>
          <w:sz w:val="22"/>
          <w:szCs w:val="22"/>
        </w:rPr>
        <w:t>) i około 140 mmol/l jonów sodowych (Na</w:t>
      </w:r>
      <w:r w:rsidRPr="00003E19">
        <w:rPr>
          <w:rFonts w:ascii="Calibri" w:hAnsi="Calibri" w:cs="Calibri"/>
          <w:color w:val="000000"/>
          <w:sz w:val="22"/>
          <w:szCs w:val="22"/>
          <w:vertAlign w:val="superscript"/>
        </w:rPr>
        <w:t>+</w:t>
      </w:r>
      <w:r w:rsidRPr="00003E19">
        <w:rPr>
          <w:rFonts w:ascii="Calibri" w:hAnsi="Calibri" w:cs="Calibri"/>
          <w:color w:val="000000"/>
          <w:sz w:val="22"/>
          <w:szCs w:val="22"/>
        </w:rPr>
        <w:t>). W kanalikach powierzchownej części kłębków sód, potas i chlor są wchłaniane zwrotnie. Pot ostateczny zawiera 20–40 mmol/l Cl</w:t>
      </w:r>
      <w:r w:rsidRPr="00003E19">
        <w:rPr>
          <w:rFonts w:ascii="Calibri" w:hAnsi="Calibri" w:cs="Calibri"/>
          <w:color w:val="000000"/>
          <w:sz w:val="22"/>
          <w:szCs w:val="22"/>
          <w:vertAlign w:val="superscript"/>
        </w:rPr>
        <w:t>–</w:t>
      </w:r>
      <w:r w:rsidRPr="00003E19">
        <w:rPr>
          <w:rFonts w:ascii="Calibri" w:hAnsi="Calibri" w:cs="Calibri"/>
          <w:color w:val="000000"/>
          <w:sz w:val="22"/>
          <w:szCs w:val="22"/>
        </w:rPr>
        <w:t> i 25–45 mmol/l Na</w:t>
      </w:r>
      <w:r w:rsidRPr="00003E19">
        <w:rPr>
          <w:rFonts w:ascii="Calibri" w:hAnsi="Calibri" w:cs="Calibri"/>
          <w:color w:val="000000"/>
          <w:sz w:val="22"/>
          <w:szCs w:val="22"/>
          <w:vertAlign w:val="superscript"/>
        </w:rPr>
        <w:t>+</w:t>
      </w:r>
      <w:r w:rsidRPr="00003E19">
        <w:rPr>
          <w:rFonts w:ascii="Calibri" w:hAnsi="Calibri" w:cs="Calibri"/>
          <w:color w:val="000000"/>
          <w:sz w:val="22"/>
          <w:szCs w:val="22"/>
        </w:rPr>
        <w:t>.</w:t>
      </w:r>
    </w:p>
    <w:p w:rsidR="00DA2BFF" w:rsidRPr="00003E19" w:rsidRDefault="00DA2BFF" w:rsidP="00984422">
      <w:pPr>
        <w:pStyle w:val="NormalWeb"/>
        <w:shd w:val="clear" w:color="auto" w:fill="FFFFFF"/>
        <w:ind w:left="426"/>
        <w:jc w:val="both"/>
        <w:rPr>
          <w:rFonts w:ascii="Calibri" w:hAnsi="Calibri" w:cs="Calibri"/>
          <w:color w:val="000000"/>
          <w:sz w:val="22"/>
          <w:szCs w:val="22"/>
        </w:rPr>
      </w:pPr>
      <w:r w:rsidRPr="00003E19">
        <w:rPr>
          <w:rFonts w:ascii="Calibri" w:hAnsi="Calibri" w:cs="Calibri"/>
          <w:color w:val="000000"/>
          <w:sz w:val="22"/>
          <w:szCs w:val="22"/>
        </w:rPr>
        <w:t>Mutacje genu CFTR (</w:t>
      </w:r>
      <w:r w:rsidRPr="00003E19">
        <w:rPr>
          <w:rFonts w:ascii="Calibri" w:hAnsi="Calibri" w:cs="Calibri"/>
          <w:i/>
          <w:iCs/>
          <w:color w:val="000000"/>
          <w:sz w:val="22"/>
          <w:szCs w:val="22"/>
        </w:rPr>
        <w:t>Cystic Fibrosis Transmembrane Conductance Regulator</w:t>
      </w:r>
      <w:r w:rsidRPr="00003E19">
        <w:rPr>
          <w:rFonts w:ascii="Calibri" w:hAnsi="Calibri" w:cs="Calibri"/>
          <w:color w:val="000000"/>
          <w:sz w:val="22"/>
          <w:szCs w:val="22"/>
        </w:rPr>
        <w:t>) zaburzając syntezę regulowanego cyklicznym AMP błonowego kanału chlorkowego, upośledzają transport Cl</w:t>
      </w:r>
      <w:r w:rsidRPr="00003E19">
        <w:rPr>
          <w:rFonts w:ascii="Calibri" w:hAnsi="Calibri" w:cs="Calibri"/>
          <w:color w:val="000000"/>
          <w:sz w:val="22"/>
          <w:szCs w:val="22"/>
          <w:vertAlign w:val="superscript"/>
        </w:rPr>
        <w:t>–</w:t>
      </w:r>
      <w:r w:rsidRPr="00003E19">
        <w:rPr>
          <w:rFonts w:ascii="Calibri" w:hAnsi="Calibri" w:cs="Calibri"/>
          <w:color w:val="000000"/>
          <w:sz w:val="22"/>
          <w:szCs w:val="22"/>
        </w:rPr>
        <w:t> przez błony szczytowe komórek nabłonkowych, również w gruczołach potowych. Z tego powodu u 98–99% chorych na mukowiscydozę stężenie Cl</w:t>
      </w:r>
      <w:r w:rsidRPr="00003E19">
        <w:rPr>
          <w:rFonts w:ascii="Calibri" w:hAnsi="Calibri" w:cs="Calibri"/>
          <w:color w:val="000000"/>
          <w:sz w:val="22"/>
          <w:szCs w:val="22"/>
          <w:vertAlign w:val="superscript"/>
        </w:rPr>
        <w:t>–</w:t>
      </w:r>
      <w:r w:rsidRPr="00003E19">
        <w:rPr>
          <w:rFonts w:ascii="Calibri" w:hAnsi="Calibri" w:cs="Calibri"/>
          <w:color w:val="000000"/>
          <w:sz w:val="22"/>
          <w:szCs w:val="22"/>
        </w:rPr>
        <w:t> przekracza 60 mmol/l i wynosi średnio 105 mmol/l, a stężenie Na</w:t>
      </w:r>
      <w:r w:rsidRPr="00003E19">
        <w:rPr>
          <w:rFonts w:ascii="Calibri" w:hAnsi="Calibri" w:cs="Calibri"/>
          <w:color w:val="000000"/>
          <w:sz w:val="22"/>
          <w:szCs w:val="22"/>
          <w:vertAlign w:val="superscript"/>
        </w:rPr>
        <w:t>+</w:t>
      </w:r>
      <w:r w:rsidRPr="00003E19">
        <w:rPr>
          <w:rFonts w:ascii="Calibri" w:hAnsi="Calibri" w:cs="Calibri"/>
          <w:color w:val="000000"/>
          <w:sz w:val="22"/>
          <w:szCs w:val="22"/>
        </w:rPr>
        <w:t> przekracza 50 mmol/l, średnio 85 mmol/l.</w:t>
      </w:r>
    </w:p>
    <w:p w:rsidR="00DA2BFF" w:rsidRPr="00003E19" w:rsidRDefault="00DA2BFF" w:rsidP="00984422">
      <w:pPr>
        <w:pStyle w:val="NormalWeb"/>
        <w:shd w:val="clear" w:color="auto" w:fill="FFFFFF"/>
        <w:ind w:left="426"/>
        <w:jc w:val="both"/>
        <w:rPr>
          <w:rFonts w:ascii="Calibri" w:hAnsi="Calibri" w:cs="Calibri"/>
          <w:color w:val="000000"/>
          <w:sz w:val="22"/>
          <w:szCs w:val="22"/>
        </w:rPr>
      </w:pPr>
      <w:r w:rsidRPr="00003E19">
        <w:rPr>
          <w:rFonts w:ascii="Calibri" w:hAnsi="Calibri" w:cs="Calibri"/>
          <w:color w:val="000000"/>
          <w:sz w:val="22"/>
          <w:szCs w:val="22"/>
        </w:rPr>
        <w:t>Opracowany przez Gibsona i Cooke'a ilościowy test potowy, w którym pot zbiera się po stymulacji gruczołów potowych metodą jontoforezy pilokarpinowej, stał się podstawową metodą potwierdzającą kliniczne podejrzenie mukowiscydozy. Jego wysoka czułość i swoistość została wielokrotnie potwierdzona. U chorych</w:t>
      </w:r>
      <w:r>
        <w:rPr>
          <w:rFonts w:ascii="Calibri" w:hAnsi="Calibri" w:cs="Calibri"/>
          <w:color w:val="000000"/>
          <w:sz w:val="22"/>
          <w:szCs w:val="22"/>
        </w:rPr>
        <w:t xml:space="preserve"> </w:t>
      </w:r>
      <w:r w:rsidRPr="00003E19">
        <w:rPr>
          <w:rFonts w:ascii="Calibri" w:hAnsi="Calibri" w:cs="Calibri"/>
          <w:color w:val="000000"/>
          <w:sz w:val="22"/>
          <w:szCs w:val="22"/>
        </w:rPr>
        <w:t>z objawami charakterystycznymi dla mukowiscydozy, u których stężenia elektrolitów w pocie są prawidłowe lub graniczne, ustalenie ostatecznego rozpoznania może być trudne.</w:t>
      </w:r>
    </w:p>
    <w:p w:rsidR="00DA2BFF" w:rsidRDefault="00DA2BFF" w:rsidP="00A4334A">
      <w:pPr>
        <w:ind w:left="426"/>
        <w:jc w:val="both"/>
        <w:rPr>
          <w:rFonts w:cs="Calibri"/>
          <w:color w:val="000000"/>
          <w:shd w:val="clear" w:color="auto" w:fill="FFFFFF"/>
        </w:rPr>
      </w:pPr>
      <w:r w:rsidRPr="00003E19">
        <w:rPr>
          <w:rFonts w:cs="Calibri"/>
          <w:color w:val="000000"/>
          <w:shd w:val="clear" w:color="auto" w:fill="FFFFFF"/>
        </w:rPr>
        <w:t>Ilościowy test potowy wg Gibsona i Cooke'a  jest najważniejszą i powszechnie uznaną metodą potwierdzającą rozpoznanie mukowiscydozy. Jednak ma on swoje ograniczenia. Należy wziąć pod uwagę możliwość fałszywie ujemnego wyniku testu potowego, którego przyczyną może być nieprawidłowa technika badania, np. niedokładne osuszenie skóry przed zbió</w:t>
      </w:r>
      <w:r>
        <w:rPr>
          <w:rFonts w:cs="Calibri"/>
          <w:color w:val="000000"/>
          <w:shd w:val="clear" w:color="auto" w:fill="FFFFFF"/>
        </w:rPr>
        <w:t>rką potu, błędy w ważeniu i elu</w:t>
      </w:r>
      <w:r w:rsidRPr="00003E19">
        <w:rPr>
          <w:rFonts w:cs="Calibri"/>
          <w:color w:val="000000"/>
          <w:shd w:val="clear" w:color="auto" w:fill="FFFFFF"/>
        </w:rPr>
        <w:t>cji potu lub w obliczeniach matematycznych. Do innych przyczyn zaniżenia wyniku należy zmniejszona potliwość, występująca zwłaszcza u noworodków i dzieci z obrzękami i hipoproteinemią. Zwolniony w takich sytuacjach przepływ potu pierwotnego przez kanal</w:t>
      </w:r>
      <w:r>
        <w:rPr>
          <w:rFonts w:cs="Calibri"/>
          <w:color w:val="000000"/>
          <w:shd w:val="clear" w:color="auto" w:fill="FFFFFF"/>
        </w:rPr>
        <w:t>iki gruczołów potowych przedłuży</w:t>
      </w:r>
      <w:r w:rsidRPr="00003E19">
        <w:rPr>
          <w:rFonts w:cs="Calibri"/>
          <w:color w:val="000000"/>
          <w:shd w:val="clear" w:color="auto" w:fill="FFFFFF"/>
        </w:rPr>
        <w:t xml:space="preserve"> czas zwrotnego wchłaniania jonów. Stężenia elektrolitów w pocie ostatecznym mogą być wówczas prawidłowe. Przestrzeganie wymogu uzyskania przynajmniej 100 mg potu w </w:t>
      </w:r>
      <w:r>
        <w:rPr>
          <w:rFonts w:cs="Calibri"/>
          <w:color w:val="000000"/>
          <w:shd w:val="clear" w:color="auto" w:fill="FFFFFF"/>
        </w:rPr>
        <w:t>określonym czasie</w:t>
      </w:r>
      <w:r w:rsidRPr="00003E19">
        <w:rPr>
          <w:rFonts w:cs="Calibri"/>
          <w:color w:val="000000"/>
          <w:shd w:val="clear" w:color="auto" w:fill="FFFFFF"/>
        </w:rPr>
        <w:t xml:space="preserve"> eliminuje tę przyczynę błędnych oznaczeń.</w:t>
      </w:r>
    </w:p>
    <w:p w:rsidR="00DA2BFF" w:rsidRPr="00086DFD" w:rsidRDefault="00DA2BFF" w:rsidP="009E7C03">
      <w:pPr>
        <w:pStyle w:val="ListParagraph"/>
        <w:numPr>
          <w:ilvl w:val="0"/>
          <w:numId w:val="2"/>
        </w:numPr>
        <w:rPr>
          <w:b/>
          <w:bCs/>
        </w:rPr>
      </w:pPr>
      <w:r w:rsidRPr="00086DFD">
        <w:rPr>
          <w:b/>
          <w:bCs/>
        </w:rPr>
        <w:t>Pracowni</w:t>
      </w:r>
      <w:r>
        <w:rPr>
          <w:b/>
          <w:bCs/>
        </w:rPr>
        <w:t>a</w:t>
      </w:r>
      <w:r w:rsidRPr="00086DFD">
        <w:rPr>
          <w:b/>
          <w:bCs/>
        </w:rPr>
        <w:t xml:space="preserve"> immunochemii</w:t>
      </w:r>
      <w:r>
        <w:rPr>
          <w:b/>
          <w:bCs/>
        </w:rPr>
        <w:t xml:space="preserve"> i pracownia biochemii:</w:t>
      </w:r>
    </w:p>
    <w:p w:rsidR="00DA2BFF" w:rsidRDefault="00DA2BFF" w:rsidP="004F7A78">
      <w:pPr>
        <w:pStyle w:val="ListParagraph"/>
        <w:numPr>
          <w:ilvl w:val="1"/>
          <w:numId w:val="2"/>
        </w:numPr>
        <w:ind w:left="851"/>
      </w:pPr>
      <w:r>
        <w:t>Badania wykonywane w surowicy! – konieczność zwirowania próbki przed oznaczeniem</w:t>
      </w:r>
    </w:p>
    <w:p w:rsidR="00DA2BFF" w:rsidRDefault="00DA2BFF" w:rsidP="009E7C03">
      <w:pPr>
        <w:pStyle w:val="ListParagraph"/>
        <w:numPr>
          <w:ilvl w:val="1"/>
          <w:numId w:val="2"/>
        </w:numPr>
        <w:ind w:left="851"/>
      </w:pPr>
      <w:r>
        <w:t>Aparat przesyła wyniki badań bezpośrednio do eskulapa-&gt; widok tylko dla diagnosty, który musi skontrolować i zatwierdzić każdy wynik przed wydaniem dla lekarza</w:t>
      </w:r>
    </w:p>
    <w:p w:rsidR="00DA2BFF" w:rsidRDefault="00DA2BFF" w:rsidP="00DB7989">
      <w:pPr>
        <w:pStyle w:val="ListParagraph"/>
        <w:numPr>
          <w:ilvl w:val="1"/>
          <w:numId w:val="2"/>
        </w:numPr>
        <w:ind w:left="851"/>
      </w:pPr>
      <w:r>
        <w:t xml:space="preserve">Diagnosta laboratoryjny zgłasza na oddział wszystkie krytyczne wyniki pacjenta, dodatkowo diagnosta ma dostęp do historii wyników, dzięki czemu może zwrócić uwagę lekarza na niepokojące zmiany parametrów </w:t>
      </w:r>
    </w:p>
    <w:p w:rsidR="00DA2BFF" w:rsidRDefault="00DA2BFF" w:rsidP="004F7A78">
      <w:pPr>
        <w:pStyle w:val="ListParagraph"/>
        <w:numPr>
          <w:ilvl w:val="1"/>
          <w:numId w:val="2"/>
        </w:numPr>
        <w:ind w:left="851"/>
      </w:pPr>
      <w:r>
        <w:t>Na monitorze aparatu na czerwono zaznaczone są błędy wykryte przez analizator, wymagają wyjaśnienia przez diagnostę</w:t>
      </w:r>
    </w:p>
    <w:p w:rsidR="00DA2BFF" w:rsidRDefault="00DA2BFF" w:rsidP="009E7C03">
      <w:pPr>
        <w:pStyle w:val="ListParagraph"/>
        <w:numPr>
          <w:ilvl w:val="1"/>
          <w:numId w:val="2"/>
        </w:numPr>
        <w:ind w:left="851"/>
      </w:pPr>
      <w:r>
        <w:t>Przykładowe badania:</w:t>
      </w:r>
    </w:p>
    <w:p w:rsidR="00DA2BFF" w:rsidRDefault="00DA2BFF" w:rsidP="009E7C03">
      <w:pPr>
        <w:pStyle w:val="ListParagraph"/>
        <w:numPr>
          <w:ilvl w:val="2"/>
          <w:numId w:val="2"/>
        </w:numPr>
        <w:ind w:left="1134"/>
      </w:pPr>
      <w:r>
        <w:t>Immunochemiczne: hormony (np. TSH,</w:t>
      </w:r>
      <w:r w:rsidRPr="009E7C03">
        <w:t xml:space="preserve"> fT3, fT4, </w:t>
      </w:r>
      <w:r>
        <w:t>LH, FSH, prolaktyna, estradiol, insulina, PTH, kortyzol itd.), diagnostyka zakażenia WZW B, anty-HCV, diagnostyka zakażenia wirusem EBV,  anty-CMV IgG, anty-CMV IgM, anty-toksoplazmoza IgG, anty-toksoplazmoza IgM</w:t>
      </w:r>
      <w:r w:rsidRPr="009E7C03">
        <w:t xml:space="preserve"> witamina D</w:t>
      </w:r>
      <w:r>
        <w:t>3</w:t>
      </w:r>
      <w:r w:rsidRPr="009E7C03">
        <w:t xml:space="preserve">, Ferrytyna, </w:t>
      </w:r>
      <w:r>
        <w:t>cyklosporyna, etotreksat, kwas walproinowy, karbamazepina, klozapina, troponina, BNP, NT-proBNP itd.</w:t>
      </w:r>
    </w:p>
    <w:p w:rsidR="00DA2BFF" w:rsidRPr="009E7C03" w:rsidRDefault="00DA2BFF" w:rsidP="009E7C03">
      <w:pPr>
        <w:pStyle w:val="ListParagraph"/>
        <w:numPr>
          <w:ilvl w:val="2"/>
          <w:numId w:val="2"/>
        </w:numPr>
        <w:ind w:left="1134"/>
      </w:pPr>
      <w:r>
        <w:t xml:space="preserve">Biochemiczne: glukoza, żelazo, TIBC, UIBC, kreatynina, cholesterol, mocznik, kreatynina, kwas moczowy, elektrolity (Mg, Ca, K, Cl), cholesterol, LDL, HDL, trójglicerydy, AST, ALT, GGT, lipaza, amylaza, LDH, </w:t>
      </w:r>
      <w:r w:rsidRPr="009E7C03">
        <w:t>prok</w:t>
      </w:r>
      <w:r>
        <w:t>alcytonina, CRP, stężenie IgA, IgG, IgM, albumina, białko całkowite, wolne kwasy tłuszczowe itd.</w:t>
      </w:r>
    </w:p>
    <w:p w:rsidR="00DA2BFF" w:rsidRDefault="00DA2BFF" w:rsidP="00181240">
      <w:pPr>
        <w:pStyle w:val="ListParagraph"/>
        <w:numPr>
          <w:ilvl w:val="1"/>
          <w:numId w:val="2"/>
        </w:numPr>
        <w:ind w:left="851"/>
      </w:pPr>
      <w:r>
        <w:t xml:space="preserve">Trudności i możliwe pomyłki: </w:t>
      </w:r>
    </w:p>
    <w:p w:rsidR="00DA2BFF" w:rsidRDefault="00DA2BFF" w:rsidP="00AD4C6A">
      <w:pPr>
        <w:pStyle w:val="ListParagraph"/>
        <w:numPr>
          <w:ilvl w:val="2"/>
          <w:numId w:val="2"/>
        </w:numPr>
      </w:pPr>
      <w:r>
        <w:t>Próbka pobrana do probówki na surowicę powinna być wirowana minimum po 20-25 min od pobrania w celu prawidłowego rozdzielania faz</w:t>
      </w:r>
    </w:p>
    <w:p w:rsidR="00DA2BFF" w:rsidRDefault="00DA2BFF" w:rsidP="00AD4C6A">
      <w:pPr>
        <w:pStyle w:val="ListParagraph"/>
        <w:numPr>
          <w:ilvl w:val="2"/>
          <w:numId w:val="2"/>
        </w:numPr>
      </w:pPr>
      <w:r>
        <w:t>Próbka z widoczną hemolizą nie nadaje się do oznaczeń – wymagane kolejne pobranie (zdjęcie: pierwsze 3 próbki – hemoliza, próbka 4 – prawidłowa)</w:t>
      </w:r>
    </w:p>
    <w:p w:rsidR="00DA2BFF" w:rsidRDefault="00DA2BFF" w:rsidP="00AD4C6A">
      <w:pPr>
        <w:pStyle w:val="ListParagraph"/>
        <w:numPr>
          <w:ilvl w:val="2"/>
          <w:numId w:val="2"/>
        </w:numPr>
      </w:pPr>
      <w:r>
        <w:t>Konieczność przestrzegania odpowiednich warunków transportu próbek do laboratorium – kontrola temperatury</w:t>
      </w:r>
    </w:p>
    <w:p w:rsidR="00DA2BFF" w:rsidRDefault="00DA2BFF" w:rsidP="00AD4C6A">
      <w:pPr>
        <w:pStyle w:val="ListParagraph"/>
        <w:numPr>
          <w:ilvl w:val="2"/>
          <w:numId w:val="2"/>
        </w:numPr>
      </w:pPr>
      <w:r>
        <w:t>Pomyłka pacjentów przy pobieraniu materiału do badań i nieprawidłowe kodowanie próbki</w:t>
      </w:r>
    </w:p>
    <w:p w:rsidR="00DA2BFF" w:rsidRDefault="00DA2BFF" w:rsidP="00DC4C5C">
      <w:pPr>
        <w:pStyle w:val="ListParagraph"/>
        <w:ind w:left="1134"/>
      </w:pPr>
    </w:p>
    <w:p w:rsidR="00DA2BFF" w:rsidRPr="00860C35" w:rsidRDefault="00DA2BFF" w:rsidP="00860C35">
      <w:pPr>
        <w:jc w:val="center"/>
        <w:rPr>
          <w:b/>
          <w:bCs/>
        </w:rPr>
      </w:pPr>
      <w:r w:rsidRPr="00ED00AA">
        <w:rPr>
          <w:b/>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i1025" type="#_x0000_t75" style="width:229.5pt;height:186.75pt;visibility:visible">
            <v:imagedata r:id="rId9" o:title=""/>
          </v:shape>
        </w:pict>
      </w:r>
    </w:p>
    <w:p w:rsidR="00DA2BFF" w:rsidRDefault="00DA2BFF" w:rsidP="00A21478">
      <w:pPr>
        <w:pStyle w:val="ListParagraph"/>
        <w:numPr>
          <w:ilvl w:val="1"/>
          <w:numId w:val="2"/>
        </w:numPr>
        <w:ind w:left="851"/>
      </w:pPr>
      <w:r>
        <w:t>Diagnostyka stanów nagłych w pediatrii (hipoglikemia, hiperamonemia, hipokalcemia)</w:t>
      </w:r>
    </w:p>
    <w:p w:rsidR="00DA2BFF" w:rsidRPr="00BB3995" w:rsidRDefault="00DA2BFF" w:rsidP="00A21478">
      <w:pPr>
        <w:pStyle w:val="ListParagraph"/>
        <w:numPr>
          <w:ilvl w:val="1"/>
          <w:numId w:val="2"/>
        </w:numPr>
        <w:rPr>
          <w:color w:val="FF0000"/>
        </w:rPr>
      </w:pPr>
      <w:r w:rsidRPr="00BB3995">
        <w:rPr>
          <w:color w:val="FF0000"/>
        </w:rPr>
        <w:t>Hipoglikemia</w:t>
      </w:r>
    </w:p>
    <w:p w:rsidR="00DA2BFF" w:rsidRPr="00A21478" w:rsidRDefault="00DA2BFF" w:rsidP="00A21478">
      <w:pPr>
        <w:pStyle w:val="ListParagraph"/>
        <w:numPr>
          <w:ilvl w:val="2"/>
          <w:numId w:val="2"/>
        </w:numPr>
      </w:pPr>
      <w:r w:rsidRPr="00A21478">
        <w:rPr>
          <w:b/>
          <w:bCs/>
        </w:rPr>
        <w:t xml:space="preserve">stężenie glukozy w osoczu krwi – najistotniejsze badanie w diagnostyce hipoglikemii </w:t>
      </w:r>
    </w:p>
    <w:p w:rsidR="00DA2BFF" w:rsidRPr="00A21478" w:rsidRDefault="00DA2BFF" w:rsidP="00A21478">
      <w:pPr>
        <w:pStyle w:val="ListParagraph"/>
        <w:numPr>
          <w:ilvl w:val="2"/>
          <w:numId w:val="2"/>
        </w:numPr>
      </w:pPr>
      <w:r w:rsidRPr="00A21478">
        <w:t>powinno być wykonane w czasie epizodu hipoglikemii (jeżeli są objawy)</w:t>
      </w:r>
    </w:p>
    <w:p w:rsidR="00DA2BFF" w:rsidRPr="00A21478" w:rsidRDefault="00DA2BFF" w:rsidP="00A21478">
      <w:pPr>
        <w:pStyle w:val="ListParagraph"/>
        <w:numPr>
          <w:ilvl w:val="2"/>
          <w:numId w:val="2"/>
        </w:numPr>
      </w:pPr>
      <w:r w:rsidRPr="00A21478">
        <w:t xml:space="preserve">pomiary niskich stężeń glukozy za pomocą niektórych glukometrów nie są wiarygodne </w:t>
      </w:r>
      <w:r w:rsidRPr="00A21478">
        <w:rPr>
          <w:b/>
          <w:bCs/>
        </w:rPr>
        <w:t>(konieczna ocena w laboratorium!!!)</w:t>
      </w:r>
    </w:p>
    <w:p w:rsidR="00DA2BFF" w:rsidRPr="00BB3995" w:rsidRDefault="00DA2BFF" w:rsidP="00A21478">
      <w:pPr>
        <w:pStyle w:val="ListParagraph"/>
        <w:numPr>
          <w:ilvl w:val="1"/>
          <w:numId w:val="2"/>
        </w:numPr>
        <w:rPr>
          <w:color w:val="FF0000"/>
        </w:rPr>
      </w:pPr>
      <w:r w:rsidRPr="00BB3995">
        <w:rPr>
          <w:color w:val="FF0000"/>
        </w:rPr>
        <w:t xml:space="preserve">Hiperamonemia </w:t>
      </w:r>
    </w:p>
    <w:p w:rsidR="00DA2BFF" w:rsidRPr="00A21478" w:rsidRDefault="00DA2BFF" w:rsidP="00A21478">
      <w:pPr>
        <w:pStyle w:val="ListParagraph"/>
        <w:numPr>
          <w:ilvl w:val="2"/>
          <w:numId w:val="2"/>
        </w:numPr>
      </w:pPr>
      <w:r w:rsidRPr="00A21478">
        <w:rPr>
          <w:b/>
          <w:bCs/>
        </w:rPr>
        <w:t>stężenie amoniaku w osoczu krwi</w:t>
      </w:r>
    </w:p>
    <w:p w:rsidR="00DA2BFF" w:rsidRPr="00A21478" w:rsidRDefault="00DA2BFF" w:rsidP="00A21478">
      <w:pPr>
        <w:pStyle w:val="ListParagraph"/>
        <w:numPr>
          <w:ilvl w:val="2"/>
          <w:numId w:val="2"/>
        </w:numPr>
      </w:pPr>
      <w:r w:rsidRPr="00A21478">
        <w:rPr>
          <w:b/>
          <w:bCs/>
        </w:rPr>
        <w:t>bardzo ważne warunki przedanalityczne!!!</w:t>
      </w:r>
    </w:p>
    <w:p w:rsidR="00DA2BFF" w:rsidRPr="00A21478" w:rsidRDefault="00DA2BFF" w:rsidP="00A21478">
      <w:pPr>
        <w:pStyle w:val="ListParagraph"/>
        <w:numPr>
          <w:ilvl w:val="3"/>
          <w:numId w:val="2"/>
        </w:numPr>
      </w:pPr>
      <w:r w:rsidRPr="00A21478">
        <w:t>krew pobrana na EDTA, mała probówka, szczelnie zamknięta</w:t>
      </w:r>
    </w:p>
    <w:p w:rsidR="00DA2BFF" w:rsidRPr="00A21478" w:rsidRDefault="00DA2BFF" w:rsidP="00A21478">
      <w:pPr>
        <w:pStyle w:val="ListParagraph"/>
        <w:numPr>
          <w:ilvl w:val="3"/>
          <w:numId w:val="2"/>
        </w:numPr>
      </w:pPr>
      <w:r w:rsidRPr="00A21478">
        <w:t>transportować w lodzie do laboratorium</w:t>
      </w:r>
    </w:p>
    <w:p w:rsidR="00DA2BFF" w:rsidRPr="00A21478" w:rsidRDefault="00DA2BFF" w:rsidP="00A21478">
      <w:pPr>
        <w:pStyle w:val="ListParagraph"/>
        <w:numPr>
          <w:ilvl w:val="3"/>
          <w:numId w:val="2"/>
        </w:numPr>
      </w:pPr>
      <w:r w:rsidRPr="00A21478">
        <w:t>wirowanie, a następnie oznaczanie wykonać w ciągu 30 min.</w:t>
      </w:r>
    </w:p>
    <w:p w:rsidR="00DA2BFF" w:rsidRPr="00A21478" w:rsidRDefault="00DA2BFF" w:rsidP="00A21478">
      <w:pPr>
        <w:pStyle w:val="ListParagraph"/>
        <w:numPr>
          <w:ilvl w:val="3"/>
          <w:numId w:val="2"/>
        </w:numPr>
      </w:pPr>
      <w:r w:rsidRPr="00A21478">
        <w:t>potwierdzenie wysokiego stężenie w próbce z drugiego pobrania</w:t>
      </w:r>
    </w:p>
    <w:p w:rsidR="00DA2BFF" w:rsidRPr="00A21478" w:rsidRDefault="00DA2BFF" w:rsidP="00A21478">
      <w:pPr>
        <w:pStyle w:val="ListParagraph"/>
        <w:numPr>
          <w:ilvl w:val="2"/>
          <w:numId w:val="2"/>
        </w:numPr>
      </w:pPr>
      <w:r w:rsidRPr="00A21478">
        <w:rPr>
          <w:b/>
          <w:bCs/>
        </w:rPr>
        <w:t>nieprzestrzeganie zaleceń - ryzyko wyników fałszywie dodatnich</w:t>
      </w:r>
      <w:r>
        <w:rPr>
          <w:b/>
          <w:bCs/>
        </w:rPr>
        <w:t xml:space="preserve"> lub ujemnych</w:t>
      </w:r>
      <w:r w:rsidRPr="00A21478">
        <w:rPr>
          <w:b/>
          <w:bCs/>
        </w:rPr>
        <w:t>!!!</w:t>
      </w:r>
    </w:p>
    <w:p w:rsidR="00DA2BFF" w:rsidRPr="00BB3995" w:rsidRDefault="00DA2BFF" w:rsidP="00A21478">
      <w:pPr>
        <w:pStyle w:val="ListParagraph"/>
        <w:numPr>
          <w:ilvl w:val="1"/>
          <w:numId w:val="2"/>
        </w:numPr>
        <w:rPr>
          <w:color w:val="FF0000"/>
        </w:rPr>
      </w:pPr>
      <w:r w:rsidRPr="00BB3995">
        <w:rPr>
          <w:color w:val="FF0000"/>
        </w:rPr>
        <w:t>Hipokalcemia</w:t>
      </w:r>
    </w:p>
    <w:p w:rsidR="00DA2BFF" w:rsidRPr="00A21478" w:rsidRDefault="00DA2BFF" w:rsidP="00A21478">
      <w:pPr>
        <w:pStyle w:val="ListParagraph"/>
        <w:numPr>
          <w:ilvl w:val="2"/>
          <w:numId w:val="2"/>
        </w:numPr>
        <w:rPr>
          <w:b/>
          <w:bCs/>
        </w:rPr>
      </w:pPr>
      <w:r w:rsidRPr="00A21478">
        <w:rPr>
          <w:b/>
          <w:bCs/>
        </w:rPr>
        <w:t xml:space="preserve">zależność między stężeniem wapnia całkowitego oraz zjonizowanego nie zawsze </w:t>
      </w:r>
      <w:r>
        <w:rPr>
          <w:b/>
          <w:bCs/>
        </w:rPr>
        <w:t xml:space="preserve">jest </w:t>
      </w:r>
      <w:r w:rsidRPr="00A21478">
        <w:rPr>
          <w:b/>
          <w:bCs/>
        </w:rPr>
        <w:t>liniowa!!!</w:t>
      </w:r>
    </w:p>
    <w:p w:rsidR="00DA2BFF" w:rsidRPr="00D17384" w:rsidRDefault="00DA2BFF" w:rsidP="00D17384">
      <w:pPr>
        <w:pStyle w:val="ListParagraph"/>
        <w:numPr>
          <w:ilvl w:val="2"/>
          <w:numId w:val="2"/>
        </w:numPr>
        <w:rPr>
          <w:bCs/>
        </w:rPr>
      </w:pPr>
      <w:r w:rsidRPr="00D17384">
        <w:rPr>
          <w:bCs/>
        </w:rPr>
        <w:t xml:space="preserve">powód: </w:t>
      </w:r>
    </w:p>
    <w:p w:rsidR="00DA2BFF" w:rsidRPr="00D17384" w:rsidRDefault="00DA2BFF" w:rsidP="00A21478">
      <w:pPr>
        <w:pStyle w:val="ListParagraph"/>
        <w:numPr>
          <w:ilvl w:val="3"/>
          <w:numId w:val="2"/>
        </w:numPr>
        <w:rPr>
          <w:bCs/>
        </w:rPr>
      </w:pPr>
      <w:r w:rsidRPr="00D17384">
        <w:rPr>
          <w:bCs/>
        </w:rPr>
        <w:t xml:space="preserve">niskie stężenie albuminy, </w:t>
      </w:r>
    </w:p>
    <w:p w:rsidR="00DA2BFF" w:rsidRPr="00D17384" w:rsidRDefault="00DA2BFF" w:rsidP="00D17384">
      <w:pPr>
        <w:pStyle w:val="ListParagraph"/>
        <w:numPr>
          <w:ilvl w:val="3"/>
          <w:numId w:val="2"/>
        </w:numPr>
        <w:rPr>
          <w:bCs/>
        </w:rPr>
      </w:pPr>
      <w:r w:rsidRPr="00D17384">
        <w:rPr>
          <w:bCs/>
        </w:rPr>
        <w:t>zaburzenia równowagi kwasowo-zasadowej (częste u wcześniaków i chorych dzieci)</w:t>
      </w:r>
    </w:p>
    <w:p w:rsidR="00DA2BFF" w:rsidRDefault="00DA2BFF" w:rsidP="00A21478">
      <w:pPr>
        <w:pStyle w:val="ListParagraph"/>
        <w:numPr>
          <w:ilvl w:val="2"/>
          <w:numId w:val="2"/>
        </w:numPr>
        <w:rPr>
          <w:bCs/>
        </w:rPr>
      </w:pPr>
      <w:r w:rsidRPr="00D17384">
        <w:rPr>
          <w:bCs/>
        </w:rPr>
        <w:t>alkaloza - obniżenie stężenia Ca zjonizowanego</w:t>
      </w:r>
    </w:p>
    <w:p w:rsidR="00DA2BFF" w:rsidRPr="00D17384" w:rsidRDefault="00DA2BFF" w:rsidP="00A21478">
      <w:pPr>
        <w:pStyle w:val="ListParagraph"/>
        <w:numPr>
          <w:ilvl w:val="2"/>
          <w:numId w:val="2"/>
        </w:numPr>
        <w:rPr>
          <w:bCs/>
        </w:rPr>
      </w:pPr>
      <w:r>
        <w:rPr>
          <w:bCs/>
        </w:rPr>
        <w:t>kwasica - wzrost stężenia Ca zjonizowanego</w:t>
      </w:r>
    </w:p>
    <w:p w:rsidR="00DA2BFF" w:rsidRPr="00D17384" w:rsidRDefault="00DA2BFF" w:rsidP="00A21478">
      <w:pPr>
        <w:pStyle w:val="ListParagraph"/>
        <w:numPr>
          <w:ilvl w:val="2"/>
          <w:numId w:val="2"/>
        </w:numPr>
        <w:rPr>
          <w:bCs/>
        </w:rPr>
      </w:pPr>
      <w:r w:rsidRPr="00D17384">
        <w:rPr>
          <w:bCs/>
        </w:rPr>
        <w:t>niska albumina - obn</w:t>
      </w:r>
      <w:r>
        <w:rPr>
          <w:bCs/>
        </w:rPr>
        <w:t xml:space="preserve">iżenie stężenia Ca całkowitego </w:t>
      </w:r>
      <w:r w:rsidRPr="00D17384">
        <w:rPr>
          <w:bCs/>
        </w:rPr>
        <w:t>(Ca zjonizowane prawidłowe)</w:t>
      </w:r>
    </w:p>
    <w:p w:rsidR="00DA2BFF" w:rsidRDefault="00DA2BFF" w:rsidP="00B11093">
      <w:pPr>
        <w:pStyle w:val="ListParagraph"/>
        <w:numPr>
          <w:ilvl w:val="2"/>
          <w:numId w:val="2"/>
        </w:numPr>
        <w:rPr>
          <w:b/>
          <w:bCs/>
        </w:rPr>
      </w:pPr>
      <w:r w:rsidRPr="00A21478">
        <w:rPr>
          <w:b/>
          <w:bCs/>
        </w:rPr>
        <w:t>Ca całk. obniża się o 0,02 mmol/L na każdy 1 g/L spadku stężenia albuminy</w:t>
      </w:r>
    </w:p>
    <w:p w:rsidR="00DA2BFF" w:rsidRDefault="00DA2BFF" w:rsidP="00B11093">
      <w:pPr>
        <w:pStyle w:val="ListParagraph"/>
        <w:ind w:left="1800"/>
        <w:rPr>
          <w:b/>
          <w:bCs/>
        </w:rPr>
      </w:pPr>
    </w:p>
    <w:p w:rsidR="00DA2BFF" w:rsidRPr="00B11093" w:rsidRDefault="00DA2BFF" w:rsidP="00B11093">
      <w:pPr>
        <w:pStyle w:val="ListParagraph"/>
        <w:ind w:left="1800"/>
        <w:rPr>
          <w:b/>
          <w:bCs/>
        </w:rPr>
      </w:pPr>
    </w:p>
    <w:p w:rsidR="00DA2BFF" w:rsidRPr="00086DFD" w:rsidRDefault="00DA2BFF" w:rsidP="005577AE">
      <w:pPr>
        <w:pStyle w:val="ListParagraph"/>
        <w:numPr>
          <w:ilvl w:val="0"/>
          <w:numId w:val="2"/>
        </w:numPr>
        <w:rPr>
          <w:b/>
          <w:bCs/>
        </w:rPr>
      </w:pPr>
      <w:r w:rsidRPr="00086DFD">
        <w:rPr>
          <w:b/>
          <w:bCs/>
        </w:rPr>
        <w:t>Pracownia białek</w:t>
      </w:r>
      <w:r>
        <w:rPr>
          <w:b/>
          <w:bCs/>
        </w:rPr>
        <w:t xml:space="preserve"> i alergologii:</w:t>
      </w:r>
    </w:p>
    <w:p w:rsidR="00DA2BFF" w:rsidRDefault="00DA2BFF" w:rsidP="00C03C31">
      <w:pPr>
        <w:pStyle w:val="ListParagraph"/>
        <w:numPr>
          <w:ilvl w:val="1"/>
          <w:numId w:val="2"/>
        </w:numPr>
        <w:ind w:left="851"/>
      </w:pPr>
      <w:r>
        <w:t xml:space="preserve">Elektroforeza białek surowicy : </w:t>
      </w:r>
      <w:hyperlink r:id="rId10" w:history="1">
        <w:r>
          <w:rPr>
            <w:rStyle w:val="Hyperlink"/>
          </w:rPr>
          <w:t>https://www.labtestsonline.pl/test/elektroforeza-i-immunofiksacja</w:t>
        </w:r>
      </w:hyperlink>
    </w:p>
    <w:p w:rsidR="00DA2BFF" w:rsidRDefault="00DA2BFF" w:rsidP="00DC4C5C">
      <w:pPr>
        <w:pStyle w:val="ListParagraph"/>
        <w:ind w:left="851"/>
      </w:pPr>
    </w:p>
    <w:p w:rsidR="00DA2BFF" w:rsidRDefault="00DA2BFF" w:rsidP="00545D47">
      <w:r w:rsidRPr="0062277C">
        <w:rPr>
          <w:noProof/>
          <w:lang w:eastAsia="pl-PL"/>
        </w:rPr>
        <w:pict>
          <v:shape id="Obraz 2" o:spid="_x0000_i1026" type="#_x0000_t75" style="width:331.5pt;height:383.25pt;visibility:visible">
            <v:imagedata r:id="rId11" o:title=""/>
          </v:shape>
        </w:pict>
      </w:r>
    </w:p>
    <w:p w:rsidR="00DA2BFF" w:rsidRPr="00DF07A3" w:rsidRDefault="00DA2BFF">
      <w:pPr>
        <w:rPr>
          <w:b/>
          <w:bCs/>
        </w:rPr>
      </w:pPr>
      <w:commentRangeStart w:id="0"/>
      <w:r w:rsidRPr="0062277C">
        <w:rPr>
          <w:noProof/>
          <w:lang w:eastAsia="pl-PL"/>
        </w:rPr>
        <w:pict>
          <v:shape id="Obraz 1" o:spid="_x0000_i1027" type="#_x0000_t75" style="width:500.25pt;height:220.5pt;visibility:visible">
            <v:imagedata r:id="rId12" o:title="" croptop="3726f" cropbottom="6392f" cropleft="1041f" cropright="3205f"/>
          </v:shape>
        </w:pict>
      </w:r>
      <w:commentRangeEnd w:id="0"/>
      <w:r>
        <w:rPr>
          <w:rStyle w:val="CommentReference"/>
        </w:rPr>
        <w:commentReference w:id="0"/>
      </w:r>
    </w:p>
    <w:p w:rsidR="00DA2BFF" w:rsidRDefault="00DA2BFF" w:rsidP="004F5EB2">
      <w:pPr>
        <w:pStyle w:val="ListParagraph"/>
        <w:numPr>
          <w:ilvl w:val="1"/>
          <w:numId w:val="2"/>
        </w:numPr>
        <w:ind w:left="851"/>
      </w:pPr>
      <w:r>
        <w:t xml:space="preserve">Przesiewowy test alergologiczny : </w:t>
      </w:r>
      <w:r w:rsidRPr="009247EB">
        <w:t>Panel pediatryczny (mieszany) z anty-CCD Absorbentem EUROLINE – 28 alergenów</w:t>
      </w:r>
      <w:r>
        <w:t xml:space="preserve"> </w:t>
      </w:r>
    </w:p>
    <w:p w:rsidR="00DA2BFF" w:rsidRDefault="00DA2BFF" w:rsidP="008165A1">
      <w:pPr>
        <w:pStyle w:val="CommentText"/>
      </w:pPr>
      <w:r>
        <w:t xml:space="preserve">Diagnostyka alergii i przeciwciała anty-CCD (reagujące krzyżowo determinanty węglowodanowe) – 7min: </w:t>
      </w:r>
      <w:hyperlink r:id="rId14" w:history="1">
        <w:r>
          <w:rPr>
            <w:rStyle w:val="Hyperlink"/>
          </w:rPr>
          <w:t>https://www.youtube.com/watch?v=eqpPe76ZJuY</w:t>
        </w:r>
      </w:hyperlink>
      <w:r>
        <w:rPr>
          <w:rStyle w:val="Hyperlink"/>
        </w:rPr>
        <w:t xml:space="preserve"> </w:t>
      </w:r>
    </w:p>
    <w:p w:rsidR="00DA2BFF" w:rsidRDefault="00DA2BFF" w:rsidP="004F5EB2">
      <w:pPr>
        <w:pStyle w:val="ListParagraph"/>
        <w:numPr>
          <w:ilvl w:val="1"/>
          <w:numId w:val="2"/>
        </w:numPr>
        <w:ind w:left="851"/>
      </w:pPr>
      <w:r>
        <w:t>przykładowy wynik z panelu pediatrycznego dostępnego w laboratorium (test przesiewowy – dalsza diagnostyka i leczenie w poradni alergologicznej)</w:t>
      </w:r>
    </w:p>
    <w:p w:rsidR="00DA2BFF" w:rsidRDefault="00DA2BFF" w:rsidP="00774AFC">
      <w:pPr>
        <w:pStyle w:val="ListParagraph"/>
        <w:ind w:left="851"/>
      </w:pPr>
    </w:p>
    <w:p w:rsidR="00DA2BFF" w:rsidRDefault="00DA2BFF" w:rsidP="009247EB">
      <w:pPr>
        <w:pStyle w:val="ListParagraph"/>
        <w:ind w:left="0"/>
      </w:pPr>
      <w:r w:rsidRPr="0062277C">
        <w:rPr>
          <w:noProof/>
          <w:lang w:eastAsia="pl-PL"/>
        </w:rPr>
        <w:pict>
          <v:shape id="Obraz 4" o:spid="_x0000_i1028" type="#_x0000_t75" style="width:419.25pt;height:537.75pt;visibility:visible">
            <v:imagedata r:id="rId15" o:title="" croptop="4613f" cropbottom="9068f" cropleft="8319f"/>
          </v:shape>
        </w:pict>
      </w:r>
    </w:p>
    <w:p w:rsidR="00DA2BFF" w:rsidRDefault="00DA2BFF" w:rsidP="00545D47">
      <w:pPr>
        <w:rPr>
          <w:b/>
          <w:bCs/>
        </w:rPr>
      </w:pPr>
    </w:p>
    <w:p w:rsidR="00DA2BFF" w:rsidRPr="00086DFD" w:rsidRDefault="00DA2BFF" w:rsidP="00D3623D">
      <w:pPr>
        <w:pStyle w:val="ListParagraph"/>
        <w:numPr>
          <w:ilvl w:val="0"/>
          <w:numId w:val="2"/>
        </w:numPr>
        <w:rPr>
          <w:b/>
          <w:bCs/>
        </w:rPr>
      </w:pPr>
      <w:r w:rsidRPr="00086DFD">
        <w:rPr>
          <w:b/>
          <w:bCs/>
        </w:rPr>
        <w:t xml:space="preserve">Pracownia serologii: </w:t>
      </w:r>
    </w:p>
    <w:p w:rsidR="00DA2BFF" w:rsidRDefault="00DA2BFF" w:rsidP="00D3623D">
      <w:pPr>
        <w:pStyle w:val="ListParagraph"/>
        <w:numPr>
          <w:ilvl w:val="2"/>
          <w:numId w:val="2"/>
        </w:numPr>
        <w:ind w:left="1134"/>
      </w:pPr>
      <w:r>
        <w:t>Koncentrat Krwinek Czerwonych KKCz: ważność 42 dni (przed toczeniem zawsze należy sprawdzić datę ważności!)</w:t>
      </w:r>
    </w:p>
    <w:p w:rsidR="00DA2BFF" w:rsidRDefault="00DA2BFF" w:rsidP="00D3623D">
      <w:pPr>
        <w:pStyle w:val="ListParagraph"/>
        <w:numPr>
          <w:ilvl w:val="2"/>
          <w:numId w:val="2"/>
        </w:numPr>
        <w:ind w:left="1134"/>
      </w:pPr>
      <w:commentRangeStart w:id="1"/>
      <w:r>
        <w:t>KKCz stosowane u dzieci jest ubogoleukocytarne oraz napromieniowane</w:t>
      </w:r>
    </w:p>
    <w:p w:rsidR="00DA2BFF" w:rsidRDefault="00DA2BFF" w:rsidP="00D3623D">
      <w:pPr>
        <w:pStyle w:val="ListParagraph"/>
        <w:numPr>
          <w:ilvl w:val="2"/>
          <w:numId w:val="2"/>
        </w:numPr>
        <w:ind w:left="1134"/>
      </w:pPr>
      <w:r>
        <w:t>napromieniowanie preparatu KKCz toczonego dzieciom: data ważności krótsza o 14 dni (ważność 28 dni)</w:t>
      </w:r>
      <w:commentRangeEnd w:id="1"/>
      <w:r>
        <w:rPr>
          <w:rStyle w:val="CommentReference"/>
        </w:rPr>
        <w:commentReference w:id="1"/>
      </w:r>
    </w:p>
    <w:p w:rsidR="00DA2BFF" w:rsidRDefault="00DA2BFF" w:rsidP="00D3623D">
      <w:pPr>
        <w:pStyle w:val="ListParagraph"/>
        <w:numPr>
          <w:ilvl w:val="2"/>
          <w:numId w:val="2"/>
        </w:numPr>
        <w:ind w:left="1134"/>
      </w:pPr>
      <w:r>
        <w:t>Przed toczeniem zawsze wykonujemy próbę krzyżową (ważna 48h licząc od daty i godziny pobrania próbki krwi od pacjenta!)</w:t>
      </w:r>
    </w:p>
    <w:p w:rsidR="00DA2BFF" w:rsidRDefault="00DA2BFF" w:rsidP="00D3623D">
      <w:pPr>
        <w:pStyle w:val="ListParagraph"/>
        <w:numPr>
          <w:ilvl w:val="1"/>
          <w:numId w:val="2"/>
        </w:numPr>
      </w:pPr>
      <w:r>
        <w:t>Podstawowa zasada w transfuzjologii określa przetaczanie składników krwiopochodnych zgodnych w układzie ABO i RhD z biorą. W nagłych przypadkach można przetoczyć krwinki czerwone grupy 0. Dlatego też osoby z grupą krwi 0 (szczególnie 0 Rh-) określa się mianem „uniwersalnych dawców krwinek czerwonych”. Z kolei osobom z grupą krwi AB Rh+ można przetoczyć krwinki czerwone dowolnej grupy i dlatego określa się je mianem „uniwersalnych biorców krwinek czerwonych”.</w:t>
      </w:r>
    </w:p>
    <w:p w:rsidR="00DA2BFF" w:rsidRDefault="00DA2BFF" w:rsidP="00D3623D">
      <w:pPr>
        <w:pStyle w:val="ListParagraph"/>
        <w:numPr>
          <w:ilvl w:val="1"/>
          <w:numId w:val="2"/>
        </w:numPr>
      </w:pPr>
      <w:r>
        <w:t>Preparaty uniwersalne w układzie ABO, które można toczyć w sytuacjach nagłych nie znając np. grupy krwi pacjenta:</w:t>
      </w:r>
    </w:p>
    <w:p w:rsidR="00DA2BFF" w:rsidRDefault="00DA2BFF" w:rsidP="00D3623D">
      <w:pPr>
        <w:pStyle w:val="ListParagraph"/>
        <w:numPr>
          <w:ilvl w:val="2"/>
          <w:numId w:val="2"/>
        </w:numPr>
      </w:pPr>
      <w:r>
        <w:t xml:space="preserve">Krwinki czerwone grupy O </w:t>
      </w:r>
    </w:p>
    <w:p w:rsidR="00DA2BFF" w:rsidRDefault="00DA2BFF" w:rsidP="00D3623D">
      <w:pPr>
        <w:pStyle w:val="ListParagraph"/>
        <w:numPr>
          <w:ilvl w:val="2"/>
          <w:numId w:val="2"/>
        </w:numPr>
      </w:pPr>
      <w:r>
        <w:t xml:space="preserve">Osocze grupy AB </w:t>
      </w:r>
    </w:p>
    <w:p w:rsidR="00DA2BFF" w:rsidRDefault="00DA2BFF" w:rsidP="00D3623D">
      <w:pPr>
        <w:pStyle w:val="ListParagraph"/>
        <w:numPr>
          <w:ilvl w:val="2"/>
          <w:numId w:val="2"/>
        </w:numPr>
      </w:pPr>
      <w:r>
        <w:t>Płytki grupy 0 zawieszone w osoczu grupy AB!</w:t>
      </w:r>
    </w:p>
    <w:p w:rsidR="00DA2BFF" w:rsidRDefault="00DA2BFF" w:rsidP="00D3623D">
      <w:pPr>
        <w:pStyle w:val="ListParagraph"/>
        <w:ind w:left="2520"/>
      </w:pPr>
    </w:p>
    <w:p w:rsidR="00DA2BFF" w:rsidRPr="00E1431D" w:rsidRDefault="00DA2BFF" w:rsidP="00C845F7">
      <w:pPr>
        <w:rPr>
          <w:b/>
          <w:bCs/>
        </w:rPr>
      </w:pPr>
      <w:r>
        <w:rPr>
          <w:b/>
          <w:bCs/>
        </w:rPr>
        <w:br w:type="page"/>
      </w:r>
      <w:r w:rsidRPr="00E1431D">
        <w:rPr>
          <w:b/>
          <w:bCs/>
        </w:rPr>
        <w:t>Ustalanie gru</w:t>
      </w:r>
      <w:r>
        <w:rPr>
          <w:b/>
          <w:bCs/>
        </w:rPr>
        <w:t>py krwi u noworodków i niemowląt</w:t>
      </w:r>
      <w:r w:rsidRPr="00E1431D">
        <w:rPr>
          <w:b/>
          <w:bCs/>
        </w:rPr>
        <w:t xml:space="preserve"> do ukończenia 4 miesiąca życia:</w:t>
      </w:r>
    </w:p>
    <w:p w:rsidR="00DA2BFF" w:rsidRDefault="00DA2BFF" w:rsidP="00C845F7">
      <w:r>
        <w:t>1. Określić obecność antygenów krwinkowych w układzie ABO i antygen D z układu Rh</w:t>
      </w:r>
    </w:p>
    <w:p w:rsidR="00DA2BFF" w:rsidRDefault="00DA2BFF" w:rsidP="00C845F7">
      <w:r>
        <w:t>2. Nie sprawdzamy obecności przeciwciał w osoczu (nie są obecne u małych dzieci)</w:t>
      </w:r>
    </w:p>
    <w:p w:rsidR="00DA2BFF" w:rsidRDefault="00DA2BFF" w:rsidP="00C845F7">
      <w:r>
        <w:t xml:space="preserve">3. Wynik grupy krwi do momentu wytworzenia przeciwciał jest tylko wynikiem dla lekarza (pacjent/ opiekun prawny nie otrzymuje wyniku). Niepełne badanie grupy krwi  (bez oznaczenia przeciwciał grupowych) obowiązuje do końca 4 miesiąca życia. W przypadku ukończenia 4 miesiąca życia dziecka, wykonuje się, jeśli jest taka konieczność, pełne badanie grupy krwi (z oznaczeniem przeciwciał grupowych). Jednakże, może się okazać, że regularne przeciwciała grupowe nie są jeszcze obecne. </w:t>
      </w:r>
    </w:p>
    <w:p w:rsidR="00DA2BFF" w:rsidRDefault="00DA2BFF" w:rsidP="00C845F7">
      <w:r w:rsidRPr="00E1431D">
        <w:rPr>
          <w:b/>
          <w:bCs/>
        </w:rPr>
        <w:t>Przykład 1</w:t>
      </w:r>
      <w:r>
        <w:t>: Dziecko 3 miesiące wymaga toczenia: określić obecność antygenów krwinkowych w układzie ABO i antygenu D z układu Rh, bez oznaczania obecności przeciwciał grupowych–&gt;wynik tylko dla lekarza</w:t>
      </w:r>
    </w:p>
    <w:p w:rsidR="00DA2BFF" w:rsidRDefault="00DA2BFF" w:rsidP="00C845F7">
      <w:r w:rsidRPr="00E1431D">
        <w:rPr>
          <w:b/>
          <w:bCs/>
        </w:rPr>
        <w:t>Przykład 2</w:t>
      </w:r>
      <w:r>
        <w:t xml:space="preserve">: To samo dziecko w wieku 6 miesięcy wymaga toczenia: określić obecność antygenów krwinkowych w układzie ABO i antygenu D z układu Rh oraz obecność przeciwciał grupowych w osoczu -&gt; </w:t>
      </w:r>
      <w:r w:rsidRPr="00E1431D">
        <w:rPr>
          <w:color w:val="FF0000"/>
        </w:rPr>
        <w:t xml:space="preserve">brak przeciwciał </w:t>
      </w:r>
      <w:r>
        <w:rPr>
          <w:color w:val="FF0000"/>
        </w:rPr>
        <w:t xml:space="preserve">grupowych </w:t>
      </w:r>
      <w:r>
        <w:t>–&gt; wynik tylko dla lekarza</w:t>
      </w:r>
    </w:p>
    <w:p w:rsidR="00DA2BFF" w:rsidRDefault="00DA2BFF" w:rsidP="00C845F7">
      <w:r w:rsidRPr="00E1431D">
        <w:rPr>
          <w:b/>
          <w:bCs/>
        </w:rPr>
        <w:t>Przykład 3</w:t>
      </w:r>
      <w:r>
        <w:t xml:space="preserve">: To samo dziecko w wieku 12 miesięcy wymaga ponownego toczenia: określić obecność antygenów krwinkowych w układzie ABO i antygenu D z układu Rh, oraz obecność przeciwciał grupowych w osoczu -&gt; </w:t>
      </w:r>
      <w:r w:rsidRPr="00E1431D">
        <w:rPr>
          <w:color w:val="FF0000"/>
        </w:rPr>
        <w:t xml:space="preserve">przeciwciała </w:t>
      </w:r>
      <w:r>
        <w:rPr>
          <w:color w:val="FF0000"/>
        </w:rPr>
        <w:t xml:space="preserve">grupowe </w:t>
      </w:r>
      <w:r w:rsidRPr="00E1431D">
        <w:rPr>
          <w:color w:val="FF0000"/>
        </w:rPr>
        <w:t xml:space="preserve">obecne </w:t>
      </w:r>
      <w:r>
        <w:rPr>
          <w:color w:val="FF0000"/>
        </w:rPr>
        <w:t xml:space="preserve">(pełne badanie grupy krwi) </w:t>
      </w:r>
      <w:r>
        <w:t xml:space="preserve">–&gt; </w:t>
      </w:r>
      <w:r w:rsidRPr="007A0EC6">
        <w:rPr>
          <w:b/>
        </w:rPr>
        <w:t xml:space="preserve">wynik niepotwierdzony </w:t>
      </w:r>
      <w:r>
        <w:t xml:space="preserve">(wydaje się lekarzowi i pacjentowi) -&gt; ponowne oznaczenie (jeśli pacjent wymaga toczenia preparatów krwiopochodnych) -&gt; </w:t>
      </w:r>
      <w:r w:rsidRPr="007A0EC6">
        <w:rPr>
          <w:b/>
        </w:rPr>
        <w:t>wynik potwierdzony</w:t>
      </w:r>
      <w:r>
        <w:t xml:space="preserve"> dla lekarza i pacjenta (nie trzeba wykonywać analizy ponownie przed kolejnym toczeniem)</w:t>
      </w:r>
    </w:p>
    <w:p w:rsidR="00DA2BFF" w:rsidRDefault="00DA2BFF" w:rsidP="00C845F7">
      <w:r>
        <w:t>Każdemu badaniu grupy krwi towarzyszy również oznaczenie przeciwciał odpornościowych.</w:t>
      </w:r>
    </w:p>
    <w:p w:rsidR="00DA2BFF" w:rsidRDefault="00DA2BFF" w:rsidP="00C845F7">
      <w:pPr>
        <w:rPr>
          <w:b/>
          <w:bCs/>
        </w:rPr>
      </w:pPr>
    </w:p>
    <w:p w:rsidR="00DA2BFF" w:rsidRPr="00E1431D" w:rsidRDefault="00DA2BFF" w:rsidP="00C845F7">
      <w:pPr>
        <w:rPr>
          <w:b/>
          <w:bCs/>
        </w:rPr>
      </w:pPr>
      <w:r w:rsidRPr="00E1431D">
        <w:rPr>
          <w:b/>
          <w:bCs/>
        </w:rPr>
        <w:t>W przypadku wykonywania badań i doboru krwi do przetoczenia u noworodków i niemowląt do ukończenia 4 miesiąca życia należy</w:t>
      </w:r>
      <w:r>
        <w:rPr>
          <w:b/>
          <w:bCs/>
        </w:rPr>
        <w:t xml:space="preserve"> przy pierwszej próbie zgodności</w:t>
      </w:r>
      <w:r w:rsidRPr="00E1431D">
        <w:rPr>
          <w:b/>
          <w:bCs/>
        </w:rPr>
        <w:t xml:space="preserve">: </w:t>
      </w:r>
    </w:p>
    <w:p w:rsidR="00DA2BFF" w:rsidRDefault="00DA2BFF" w:rsidP="00D3623D">
      <w:r>
        <w:t xml:space="preserve">1) określić grupę krwi w układzie ABO i antygen D z układu Rh u matki i u dziecka; </w:t>
      </w:r>
    </w:p>
    <w:p w:rsidR="00DA2BFF" w:rsidRDefault="00DA2BFF" w:rsidP="00D3623D">
      <w:r>
        <w:t>2) wykonać badania w kierunku obecności alloprzeciwciał odpornościowych w surowicy matki; jeśli krew matki jest niedostępna wykorzystuje się surowicę dziecka</w:t>
      </w:r>
    </w:p>
    <w:p w:rsidR="00DA2BFF" w:rsidRDefault="00DA2BFF" w:rsidP="00D3623D">
      <w:r>
        <w:t xml:space="preserve">3) wykonać bezpośredni test antyglobulinowy (BTA) u </w:t>
      </w:r>
      <w:commentRangeStart w:id="2"/>
      <w:r>
        <w:t>dziecka</w:t>
      </w:r>
      <w:commentRangeEnd w:id="2"/>
      <w:r>
        <w:rPr>
          <w:rStyle w:val="CommentReference"/>
        </w:rPr>
        <w:commentReference w:id="2"/>
      </w:r>
      <w:r>
        <w:t xml:space="preserve">. </w:t>
      </w:r>
    </w:p>
    <w:p w:rsidR="00DA2BFF" w:rsidRPr="00374577" w:rsidRDefault="00DA2BFF" w:rsidP="00D3623D">
      <w:pPr>
        <w:rPr>
          <w:color w:val="FF0000"/>
        </w:rPr>
      </w:pPr>
      <w:r w:rsidRPr="00530CE3">
        <w:rPr>
          <w:b/>
          <w:color w:val="FF0000"/>
        </w:rPr>
        <w:t>PAMIĘTAJ</w:t>
      </w:r>
      <w:r w:rsidRPr="00530CE3">
        <w:rPr>
          <w:color w:val="FF0000"/>
        </w:rPr>
        <w:t>: w przypadku dzieci do 4 miesiąca życia przy pierwszej próbie zgodności wykona</w:t>
      </w:r>
      <w:r>
        <w:rPr>
          <w:color w:val="FF0000"/>
        </w:rPr>
        <w:t>ć</w:t>
      </w:r>
      <w:r w:rsidRPr="00530CE3">
        <w:rPr>
          <w:color w:val="FF0000"/>
        </w:rPr>
        <w:t xml:space="preserve"> należy testy: kontrolne oznaczenie grupy krwi ABO i antygenu RhD biorcy i dawcy, BTA u dziecka, </w:t>
      </w:r>
      <w:r>
        <w:rPr>
          <w:color w:val="FF0000"/>
        </w:rPr>
        <w:t>oznaczenie alloprzeciwciał odpornościowych, próbę krzyżową (krwinki dawcy + surowica biorcy). W</w:t>
      </w:r>
      <w:r>
        <w:t xml:space="preserve"> </w:t>
      </w:r>
      <w:r w:rsidRPr="00374577">
        <w:rPr>
          <w:color w:val="FF0000"/>
        </w:rPr>
        <w:t>przypadku kolejnych prób zgodności u dziecka do 4 m.ż. należy wykonać tylko oznaczenie grupy u dawcy</w:t>
      </w:r>
      <w:r>
        <w:rPr>
          <w:color w:val="FF0000"/>
        </w:rPr>
        <w:t xml:space="preserve"> (tzw. „potwierdzenie dawcy”)</w:t>
      </w:r>
      <w:r w:rsidRPr="00374577">
        <w:rPr>
          <w:color w:val="FF0000"/>
        </w:rPr>
        <w:t>.</w:t>
      </w:r>
    </w:p>
    <w:p w:rsidR="00DA2BFF" w:rsidRPr="00222204" w:rsidRDefault="00DA2BFF" w:rsidP="00D3623D">
      <w:pPr>
        <w:rPr>
          <w:b/>
        </w:rPr>
      </w:pPr>
      <w:r w:rsidRPr="00222204">
        <w:rPr>
          <w:b/>
        </w:rPr>
        <w:t xml:space="preserve">Zasady toczenia krwi </w:t>
      </w:r>
      <w:r>
        <w:rPr>
          <w:b/>
        </w:rPr>
        <w:t xml:space="preserve">(KKCz) </w:t>
      </w:r>
      <w:r w:rsidRPr="00222204">
        <w:rPr>
          <w:b/>
        </w:rPr>
        <w:t>u noworodków i niemowląt do ukończenia 4 miesiąca życia w przypadku niezgodności w układzie ABO między matką a dzieckiem:</w:t>
      </w:r>
    </w:p>
    <w:p w:rsidR="00DA2BFF" w:rsidRPr="00222204" w:rsidRDefault="00DA2BFF" w:rsidP="00222204">
      <w:pPr>
        <w:pStyle w:val="ListParagraph"/>
        <w:numPr>
          <w:ilvl w:val="0"/>
          <w:numId w:val="11"/>
        </w:numPr>
        <w:rPr>
          <w:color w:val="FF0000"/>
        </w:rPr>
      </w:pPr>
      <w:r w:rsidRPr="00222204">
        <w:rPr>
          <w:color w:val="FF0000"/>
        </w:rPr>
        <w:t>matka grupy 0, dziecko grupy A lub B – przetaczać KKCz  grupy 0</w:t>
      </w:r>
    </w:p>
    <w:p w:rsidR="00DA2BFF" w:rsidRPr="00222204" w:rsidRDefault="00DA2BFF" w:rsidP="00222204">
      <w:pPr>
        <w:pStyle w:val="ListParagraph"/>
        <w:numPr>
          <w:ilvl w:val="0"/>
          <w:numId w:val="11"/>
        </w:numPr>
        <w:rPr>
          <w:color w:val="FF0000"/>
        </w:rPr>
      </w:pPr>
      <w:r w:rsidRPr="00222204">
        <w:rPr>
          <w:color w:val="FF0000"/>
        </w:rPr>
        <w:t>matka grupy</w:t>
      </w:r>
      <w:r>
        <w:rPr>
          <w:color w:val="FF0000"/>
        </w:rPr>
        <w:t xml:space="preserve"> A, dziecko grupy </w:t>
      </w:r>
      <w:r w:rsidRPr="00222204">
        <w:rPr>
          <w:color w:val="FF0000"/>
        </w:rPr>
        <w:t xml:space="preserve">B </w:t>
      </w:r>
      <w:r>
        <w:rPr>
          <w:color w:val="FF0000"/>
        </w:rPr>
        <w:t xml:space="preserve">lub odwrotnie </w:t>
      </w:r>
      <w:r w:rsidRPr="00222204">
        <w:rPr>
          <w:color w:val="FF0000"/>
        </w:rPr>
        <w:t>– przetaczać KKCz  grupy 0</w:t>
      </w:r>
    </w:p>
    <w:p w:rsidR="00DA2BFF" w:rsidRPr="00222204" w:rsidRDefault="00DA2BFF" w:rsidP="00222204">
      <w:pPr>
        <w:pStyle w:val="ListParagraph"/>
        <w:numPr>
          <w:ilvl w:val="0"/>
          <w:numId w:val="11"/>
        </w:numPr>
        <w:rPr>
          <w:color w:val="FF0000"/>
        </w:rPr>
      </w:pPr>
      <w:r w:rsidRPr="00222204">
        <w:rPr>
          <w:color w:val="FF0000"/>
        </w:rPr>
        <w:t>matka grupy</w:t>
      </w:r>
      <w:r>
        <w:rPr>
          <w:color w:val="FF0000"/>
        </w:rPr>
        <w:t xml:space="preserve"> A lub B</w:t>
      </w:r>
      <w:r w:rsidRPr="00222204">
        <w:rPr>
          <w:color w:val="FF0000"/>
        </w:rPr>
        <w:t xml:space="preserve">, dziecko grupy </w:t>
      </w:r>
      <w:r>
        <w:rPr>
          <w:color w:val="FF0000"/>
        </w:rPr>
        <w:t>A</w:t>
      </w:r>
      <w:r w:rsidRPr="00222204">
        <w:rPr>
          <w:color w:val="FF0000"/>
        </w:rPr>
        <w:t>B – przetaczać KKCz  grupy 0</w:t>
      </w:r>
    </w:p>
    <w:p w:rsidR="00DA2BFF" w:rsidRDefault="00DA2BFF" w:rsidP="00D3623D">
      <w:pPr>
        <w:pStyle w:val="ListParagraph"/>
        <w:numPr>
          <w:ilvl w:val="0"/>
          <w:numId w:val="11"/>
        </w:numPr>
        <w:rPr>
          <w:color w:val="FF0000"/>
        </w:rPr>
      </w:pPr>
      <w:r w:rsidRPr="00222204">
        <w:rPr>
          <w:color w:val="FF0000"/>
        </w:rPr>
        <w:t xml:space="preserve">matka grupy </w:t>
      </w:r>
      <w:r>
        <w:rPr>
          <w:color w:val="FF0000"/>
        </w:rPr>
        <w:t xml:space="preserve">AB </w:t>
      </w:r>
      <w:r w:rsidRPr="00222204">
        <w:rPr>
          <w:color w:val="FF0000"/>
        </w:rPr>
        <w:t xml:space="preserve">– przetaczać KKCz  </w:t>
      </w:r>
      <w:r>
        <w:rPr>
          <w:color w:val="FF0000"/>
        </w:rPr>
        <w:t xml:space="preserve">jednoimienny w układzie AB0 z krwią dziecka lub </w:t>
      </w:r>
      <w:r w:rsidRPr="00222204">
        <w:rPr>
          <w:color w:val="FF0000"/>
        </w:rPr>
        <w:t>grupy 0</w:t>
      </w:r>
    </w:p>
    <w:p w:rsidR="00DA2BFF" w:rsidRPr="00222204" w:rsidRDefault="00DA2BFF" w:rsidP="00D3623D">
      <w:pPr>
        <w:pStyle w:val="ListParagraph"/>
        <w:numPr>
          <w:ilvl w:val="0"/>
          <w:numId w:val="11"/>
        </w:numPr>
        <w:rPr>
          <w:color w:val="FF0000"/>
        </w:rPr>
      </w:pPr>
      <w:r>
        <w:rPr>
          <w:color w:val="FF0000"/>
        </w:rPr>
        <w:t>w</w:t>
      </w:r>
      <w:r w:rsidRPr="00222204">
        <w:rPr>
          <w:color w:val="FF0000"/>
        </w:rPr>
        <w:t xml:space="preserve"> okresie pierwszych 4 miesięcy życia dziecka </w:t>
      </w:r>
      <w:r>
        <w:rPr>
          <w:color w:val="FF0000"/>
        </w:rPr>
        <w:t xml:space="preserve">(w przypadku niezgodności grupowej między matką a dzieckiem) </w:t>
      </w:r>
      <w:r w:rsidRPr="00222204">
        <w:rPr>
          <w:color w:val="FF0000"/>
        </w:rPr>
        <w:t>do przetoczeń stosuje się krew tej samej grupy ABO i RhD, jak do pierwszej transfuzji</w:t>
      </w:r>
      <w:r>
        <w:rPr>
          <w:color w:val="FF0000"/>
        </w:rPr>
        <w:t xml:space="preserve">. Jeśli dziecko skończy 4 miesiące i wymaga dalszych przetoczeń a przerwa pomiędzy nimi nie była dłuższa niż 3 miesiące, dziecko musi otrzymywać KKCz  </w:t>
      </w:r>
      <w:r w:rsidRPr="00222204">
        <w:rPr>
          <w:color w:val="FF0000"/>
        </w:rPr>
        <w:t>tej samej grupy ABO i RhD, jak do pierwszej transfuzji</w:t>
      </w:r>
      <w:r>
        <w:rPr>
          <w:color w:val="FF0000"/>
        </w:rPr>
        <w:t>. Jeśli upłyną 3 miesiące od ostatniego toczenia, dziecko może otrzymywać KKCz zgodny z jego grupą krwi.</w:t>
      </w:r>
      <w:r w:rsidRPr="00222204">
        <w:rPr>
          <w:color w:val="FF0000"/>
        </w:rPr>
        <w:t xml:space="preserve">  </w:t>
      </w:r>
    </w:p>
    <w:p w:rsidR="00DA2BFF" w:rsidRDefault="00DA2BFF" w:rsidP="00D3623D">
      <w:r w:rsidRPr="00E1431D">
        <w:rPr>
          <w:b/>
          <w:bCs/>
        </w:rPr>
        <w:t>Przykład</w:t>
      </w:r>
      <w:r>
        <w:t xml:space="preserve">: dziecko 3 miesiące grupy krwi B Rh D+, matka grupy A Rh D- : </w:t>
      </w:r>
    </w:p>
    <w:p w:rsidR="00DA2BFF" w:rsidRPr="008A7ECD" w:rsidRDefault="00DA2BFF" w:rsidP="008A7ECD">
      <w:pPr>
        <w:pStyle w:val="ListParagraph"/>
        <w:numPr>
          <w:ilvl w:val="0"/>
          <w:numId w:val="12"/>
        </w:numPr>
        <w:rPr>
          <w:b/>
        </w:rPr>
      </w:pPr>
      <w:r>
        <w:t xml:space="preserve">dziecku toczymy </w:t>
      </w:r>
      <w:r w:rsidRPr="00B91D61">
        <w:rPr>
          <w:b/>
        </w:rPr>
        <w:t>KKCz 0 Rh D+ (dodani),</w:t>
      </w:r>
      <w:r>
        <w:t xml:space="preserve"> </w:t>
      </w:r>
      <w:r w:rsidRPr="008A7ECD">
        <w:rPr>
          <w:b/>
        </w:rPr>
        <w:t xml:space="preserve">osocze AB, KKP (płytki) 0 RhD+ (dodatni) </w:t>
      </w:r>
      <w:r>
        <w:rPr>
          <w:b/>
        </w:rPr>
        <w:t xml:space="preserve">zawieszone </w:t>
      </w:r>
      <w:r w:rsidRPr="008A7ECD">
        <w:rPr>
          <w:b/>
        </w:rPr>
        <w:t xml:space="preserve">w osoczu AB </w:t>
      </w:r>
    </w:p>
    <w:p w:rsidR="00DA2BFF" w:rsidRPr="00B91D61" w:rsidRDefault="00DA2BFF" w:rsidP="00B91D61">
      <w:pPr>
        <w:pStyle w:val="ListParagraph"/>
        <w:numPr>
          <w:ilvl w:val="0"/>
          <w:numId w:val="12"/>
        </w:numPr>
        <w:rPr>
          <w:b/>
        </w:rPr>
      </w:pPr>
      <w:r>
        <w:t xml:space="preserve">to samo dziecko w wieku 5 miesięcy musi mieć toczone </w:t>
      </w:r>
      <w:r w:rsidRPr="00B91D61">
        <w:rPr>
          <w:b/>
        </w:rPr>
        <w:t>KKCz grupy 0 Rh D+ (dodatni)</w:t>
      </w:r>
      <w:r>
        <w:rPr>
          <w:b/>
        </w:rPr>
        <w:t>,</w:t>
      </w:r>
      <w:r>
        <w:t xml:space="preserve"> </w:t>
      </w:r>
      <w:r w:rsidRPr="008A7ECD">
        <w:rPr>
          <w:b/>
        </w:rPr>
        <w:t xml:space="preserve">osocze AB, KKP 0 RhD+ (dodatni) w osoczu AB </w:t>
      </w:r>
      <w:r>
        <w:t>(przerwa w toczeniach krótsza niż 3 miesiące);</w:t>
      </w:r>
    </w:p>
    <w:p w:rsidR="00DA2BFF" w:rsidRDefault="00DA2BFF" w:rsidP="00C845F7">
      <w:pPr>
        <w:pStyle w:val="ListParagraph"/>
        <w:numPr>
          <w:ilvl w:val="0"/>
          <w:numId w:val="3"/>
        </w:numPr>
      </w:pPr>
      <w:r>
        <w:t xml:space="preserve">to samo dziecko w wieku 7 miesięcy może mieć toczone </w:t>
      </w:r>
      <w:r w:rsidRPr="00B91D61">
        <w:rPr>
          <w:b/>
        </w:rPr>
        <w:t>KKCz grupy B Rh D+ (dodatni), osocze B, KKP BRhD+ (dodatni)</w:t>
      </w:r>
      <w:r>
        <w:t xml:space="preserve"> (przerwa w toczeniach dłuższa niż 3 miesiące);</w:t>
      </w:r>
    </w:p>
    <w:p w:rsidR="00DA2BFF" w:rsidRDefault="00DA2BFF" w:rsidP="00A435E7">
      <w:pPr>
        <w:rPr>
          <w:b/>
          <w:bCs/>
        </w:rPr>
      </w:pPr>
    </w:p>
    <w:p w:rsidR="00DA2BFF" w:rsidRPr="00086DFD" w:rsidRDefault="00DA2BFF" w:rsidP="00A435E7">
      <w:pPr>
        <w:rPr>
          <w:b/>
          <w:bCs/>
        </w:rPr>
      </w:pPr>
      <w:r>
        <w:rPr>
          <w:b/>
          <w:bCs/>
        </w:rPr>
        <w:t>Pracownia h</w:t>
      </w:r>
      <w:r w:rsidRPr="00086DFD">
        <w:rPr>
          <w:b/>
          <w:bCs/>
        </w:rPr>
        <w:t>ematologi</w:t>
      </w:r>
      <w:r>
        <w:rPr>
          <w:b/>
          <w:bCs/>
        </w:rPr>
        <w:t>i</w:t>
      </w:r>
      <w:r w:rsidRPr="00086DFD">
        <w:rPr>
          <w:b/>
          <w:bCs/>
        </w:rPr>
        <w:t xml:space="preserve"> i koagulologi</w:t>
      </w:r>
      <w:r>
        <w:rPr>
          <w:b/>
          <w:bCs/>
        </w:rPr>
        <w:t>i:</w:t>
      </w:r>
    </w:p>
    <w:p w:rsidR="00DA2BFF" w:rsidRDefault="00DA2BFF" w:rsidP="001B0299">
      <w:pPr>
        <w:pStyle w:val="ListParagraph"/>
        <w:numPr>
          <w:ilvl w:val="1"/>
          <w:numId w:val="2"/>
        </w:numPr>
        <w:ind w:left="851"/>
      </w:pPr>
      <w:r>
        <w:t>Morfologia – krew pobierana do probówki z EDTA</w:t>
      </w:r>
    </w:p>
    <w:p w:rsidR="00DA2BFF" w:rsidRDefault="00DA2BFF" w:rsidP="001B0299">
      <w:pPr>
        <w:pStyle w:val="ListParagraph"/>
        <w:numPr>
          <w:ilvl w:val="1"/>
          <w:numId w:val="2"/>
        </w:numPr>
        <w:ind w:left="851"/>
      </w:pPr>
      <w:r>
        <w:t>Koagulologia – krew pobierana do probówki z cytrynianem (3.2%)</w:t>
      </w:r>
    </w:p>
    <w:p w:rsidR="00DA2BFF" w:rsidRDefault="00DA2BFF" w:rsidP="00774AFC">
      <w:pPr>
        <w:pStyle w:val="ListParagraph"/>
        <w:numPr>
          <w:ilvl w:val="1"/>
          <w:numId w:val="2"/>
        </w:numPr>
        <w:ind w:left="851"/>
      </w:pPr>
      <w:r>
        <w:t>OB – krew pobierana do probówki z cytrynianem (3.8%)</w:t>
      </w:r>
    </w:p>
    <w:p w:rsidR="00DA2BFF" w:rsidRDefault="00DA2BFF" w:rsidP="00774AFC">
      <w:pPr>
        <w:pStyle w:val="ListParagraph"/>
        <w:numPr>
          <w:ilvl w:val="1"/>
          <w:numId w:val="2"/>
        </w:numPr>
        <w:ind w:left="851"/>
      </w:pPr>
      <w:r>
        <w:t>W przypadku pobierania krwi do probówek bardzo ważne jest pobranie odpowiedniej ilości materiału!</w:t>
      </w:r>
    </w:p>
    <w:p w:rsidR="00DA2BFF" w:rsidRDefault="00DA2BFF" w:rsidP="00774AFC">
      <w:pPr>
        <w:pStyle w:val="ListParagraph"/>
        <w:numPr>
          <w:ilvl w:val="1"/>
          <w:numId w:val="2"/>
        </w:numPr>
        <w:ind w:left="851"/>
      </w:pPr>
      <w:r>
        <w:t>Przykład: pobranie zbyt dużej ilości krwi do probówki morfologicznej z EDTA prowadzi do zaniżenia wyników oznaczenia płytek – zbyt mało antykoagulantu, krew krzepnie)</w:t>
      </w:r>
    </w:p>
    <w:p w:rsidR="00DA2BFF" w:rsidRDefault="00DA2BFF" w:rsidP="00A435E7">
      <w:pPr>
        <w:rPr>
          <w:b/>
          <w:bCs/>
        </w:rPr>
      </w:pPr>
    </w:p>
    <w:p w:rsidR="00DA2BFF" w:rsidRDefault="00DA2BFF" w:rsidP="00A435E7">
      <w:pPr>
        <w:rPr>
          <w:b/>
          <w:bCs/>
        </w:rPr>
      </w:pPr>
      <w:r>
        <w:rPr>
          <w:b/>
          <w:bCs/>
        </w:rPr>
        <w:t>Pracownia a</w:t>
      </w:r>
      <w:r w:rsidRPr="00086DFD">
        <w:rPr>
          <w:b/>
          <w:bCs/>
        </w:rPr>
        <w:t>nalityk</w:t>
      </w:r>
      <w:r>
        <w:rPr>
          <w:b/>
          <w:bCs/>
        </w:rPr>
        <w:t>i</w:t>
      </w:r>
      <w:r w:rsidRPr="00086DFD">
        <w:rPr>
          <w:b/>
          <w:bCs/>
        </w:rPr>
        <w:t xml:space="preserve"> ogóln</w:t>
      </w:r>
      <w:r>
        <w:rPr>
          <w:b/>
          <w:bCs/>
        </w:rPr>
        <w:t>ej:</w:t>
      </w:r>
    </w:p>
    <w:p w:rsidR="00DA2BFF" w:rsidRPr="00946117" w:rsidRDefault="00DA2BFF" w:rsidP="00946117">
      <w:pPr>
        <w:pStyle w:val="ListParagraph"/>
        <w:ind w:left="360"/>
      </w:pPr>
      <w:r w:rsidRPr="00946117">
        <w:t>Wykonywane badania:</w:t>
      </w:r>
    </w:p>
    <w:p w:rsidR="00DA2BFF" w:rsidRDefault="00DA2BFF" w:rsidP="006A24ED">
      <w:pPr>
        <w:pStyle w:val="ListParagraph"/>
        <w:numPr>
          <w:ilvl w:val="1"/>
          <w:numId w:val="2"/>
        </w:numPr>
      </w:pPr>
      <w:r>
        <w:t xml:space="preserve">Badanie ogólne moczu: </w:t>
      </w:r>
    </w:p>
    <w:p w:rsidR="00DA2BFF" w:rsidRDefault="00DA2BFF" w:rsidP="00FD4C5B">
      <w:pPr>
        <w:pStyle w:val="ListParagraph"/>
        <w:numPr>
          <w:ilvl w:val="2"/>
          <w:numId w:val="2"/>
        </w:numPr>
      </w:pPr>
      <w:r>
        <w:t xml:space="preserve">Ciężar właściwy </w:t>
      </w:r>
    </w:p>
    <w:p w:rsidR="00DA2BFF" w:rsidRDefault="00DA2BFF" w:rsidP="006A24ED">
      <w:pPr>
        <w:pStyle w:val="ListParagraph"/>
        <w:numPr>
          <w:ilvl w:val="2"/>
          <w:numId w:val="2"/>
        </w:numPr>
      </w:pPr>
      <w:r>
        <w:t>pH</w:t>
      </w:r>
    </w:p>
    <w:p w:rsidR="00DA2BFF" w:rsidRDefault="00DA2BFF" w:rsidP="006A24ED">
      <w:pPr>
        <w:pStyle w:val="ListParagraph"/>
        <w:numPr>
          <w:ilvl w:val="2"/>
          <w:numId w:val="2"/>
        </w:numPr>
      </w:pPr>
      <w:r>
        <w:t xml:space="preserve">Leukocyty </w:t>
      </w:r>
    </w:p>
    <w:p w:rsidR="00DA2BFF" w:rsidRDefault="00DA2BFF" w:rsidP="006A24ED">
      <w:pPr>
        <w:pStyle w:val="ListParagraph"/>
        <w:numPr>
          <w:ilvl w:val="2"/>
          <w:numId w:val="2"/>
        </w:numPr>
      </w:pPr>
      <w:r>
        <w:t>Erytrocyty</w:t>
      </w:r>
    </w:p>
    <w:p w:rsidR="00DA2BFF" w:rsidRDefault="00DA2BFF" w:rsidP="006A24ED">
      <w:pPr>
        <w:pStyle w:val="ListParagraph"/>
        <w:numPr>
          <w:ilvl w:val="2"/>
          <w:numId w:val="2"/>
        </w:numPr>
      </w:pPr>
      <w:r>
        <w:t>Hemoglobina</w:t>
      </w:r>
    </w:p>
    <w:p w:rsidR="00DA2BFF" w:rsidRDefault="00DA2BFF" w:rsidP="006A24ED">
      <w:pPr>
        <w:pStyle w:val="ListParagraph"/>
        <w:numPr>
          <w:ilvl w:val="2"/>
          <w:numId w:val="2"/>
        </w:numPr>
      </w:pPr>
      <w:r>
        <w:t>Białko</w:t>
      </w:r>
    </w:p>
    <w:p w:rsidR="00DA2BFF" w:rsidRDefault="00DA2BFF" w:rsidP="006A24ED">
      <w:pPr>
        <w:pStyle w:val="ListParagraph"/>
        <w:numPr>
          <w:ilvl w:val="2"/>
          <w:numId w:val="2"/>
        </w:numPr>
      </w:pPr>
      <w:r>
        <w:t>Azotyny</w:t>
      </w:r>
    </w:p>
    <w:p w:rsidR="00DA2BFF" w:rsidRDefault="00DA2BFF" w:rsidP="006A24ED">
      <w:pPr>
        <w:pStyle w:val="ListParagraph"/>
        <w:numPr>
          <w:ilvl w:val="2"/>
          <w:numId w:val="2"/>
        </w:numPr>
      </w:pPr>
      <w:r>
        <w:t>Glukoza</w:t>
      </w:r>
    </w:p>
    <w:p w:rsidR="00DA2BFF" w:rsidRDefault="00DA2BFF" w:rsidP="006A24ED">
      <w:pPr>
        <w:pStyle w:val="ListParagraph"/>
        <w:numPr>
          <w:ilvl w:val="2"/>
          <w:numId w:val="2"/>
        </w:numPr>
      </w:pPr>
      <w:r>
        <w:t xml:space="preserve">Bilirubina </w:t>
      </w:r>
    </w:p>
    <w:p w:rsidR="00DA2BFF" w:rsidRDefault="00DA2BFF" w:rsidP="006A24ED">
      <w:pPr>
        <w:pStyle w:val="ListParagraph"/>
        <w:numPr>
          <w:ilvl w:val="2"/>
          <w:numId w:val="2"/>
        </w:numPr>
      </w:pPr>
      <w:r>
        <w:t>Urobilinogen</w:t>
      </w:r>
    </w:p>
    <w:p w:rsidR="00DA2BFF" w:rsidRDefault="00DA2BFF" w:rsidP="006A24ED">
      <w:pPr>
        <w:pStyle w:val="ListParagraph"/>
        <w:numPr>
          <w:ilvl w:val="2"/>
          <w:numId w:val="2"/>
        </w:numPr>
      </w:pPr>
      <w:r>
        <w:t>Ciała ketonowe</w:t>
      </w:r>
    </w:p>
    <w:p w:rsidR="00DA2BFF" w:rsidRDefault="00DA2BFF" w:rsidP="00E95776">
      <w:pPr>
        <w:pStyle w:val="ListParagraph"/>
        <w:ind w:left="1800"/>
      </w:pPr>
      <w:hyperlink r:id="rId16" w:history="1">
        <w:r>
          <w:rPr>
            <w:rStyle w:val="Hyperlink"/>
          </w:rPr>
          <w:t>https://www.mp.pl/medycynarodzinna/diagnostyka-kliniczna/badania-pomocnicze/52998,badanie-moczu-za-pomoca-paskow-testowych</w:t>
        </w:r>
      </w:hyperlink>
    </w:p>
    <w:p w:rsidR="00DA2BFF" w:rsidRDefault="00DA2BFF" w:rsidP="00E95776">
      <w:pPr>
        <w:pStyle w:val="ListParagraph"/>
        <w:numPr>
          <w:ilvl w:val="1"/>
          <w:numId w:val="2"/>
        </w:numPr>
      </w:pPr>
      <w:r>
        <w:t xml:space="preserve">Osad moczu </w:t>
      </w:r>
    </w:p>
    <w:p w:rsidR="00DA2BFF" w:rsidRDefault="00DA2BFF" w:rsidP="00E95776">
      <w:pPr>
        <w:pStyle w:val="ListParagraph"/>
        <w:ind w:left="1080"/>
      </w:pPr>
      <w:hyperlink r:id="rId17" w:history="1">
        <w:r>
          <w:rPr>
            <w:rStyle w:val="Hyperlink"/>
          </w:rPr>
          <w:t>https://www.mp.pl/interna/table/B16.27.3-1.</w:t>
        </w:r>
      </w:hyperlink>
    </w:p>
    <w:p w:rsidR="00DA2BFF" w:rsidRDefault="00DA2BFF" w:rsidP="00E95776">
      <w:pPr>
        <w:pStyle w:val="ListParagraph"/>
        <w:ind w:left="1080"/>
      </w:pPr>
    </w:p>
    <w:p w:rsidR="00DA2BFF" w:rsidRDefault="00DA2BFF" w:rsidP="00E95776">
      <w:pPr>
        <w:pStyle w:val="ListParagraph"/>
        <w:ind w:left="1080"/>
      </w:pPr>
    </w:p>
    <w:p w:rsidR="00DA2BFF" w:rsidRDefault="00DA2BFF" w:rsidP="001B0299">
      <w:pPr>
        <w:pStyle w:val="ListParagraph"/>
        <w:numPr>
          <w:ilvl w:val="1"/>
          <w:numId w:val="2"/>
        </w:numPr>
      </w:pPr>
      <w:r>
        <w:t xml:space="preserve">Badanie płynu mózgowo - rdzeniowego </w:t>
      </w:r>
    </w:p>
    <w:p w:rsidR="00DA2BFF" w:rsidRDefault="00DA2BFF" w:rsidP="00C845F7">
      <w:pPr>
        <w:pStyle w:val="ListParagraph"/>
        <w:numPr>
          <w:ilvl w:val="1"/>
          <w:numId w:val="2"/>
        </w:numPr>
      </w:pPr>
      <w:r>
        <w:t>Dopamina i kwas wanilinomigdałowy z dobowej zbiórki moczu – diagnostyka neuroblastomy (</w:t>
      </w:r>
      <w:r w:rsidRPr="00C845F7">
        <w:t>wywodzi się z układu współczulnego, co tłum</w:t>
      </w:r>
      <w:r>
        <w:t>aczy jego aktywność hormonalną – wzrost stężenia amin katecholowych) - m</w:t>
      </w:r>
      <w:r w:rsidRPr="00C845F7">
        <w:t>ocz zbiera się na 6M HCl (10 ml kwasu na 1000 ml moczu)!!!</w:t>
      </w:r>
    </w:p>
    <w:p w:rsidR="00DA2BFF" w:rsidRDefault="00DA2BFF" w:rsidP="00C53DB9">
      <w:pPr>
        <w:rPr>
          <w:noProof/>
        </w:rPr>
      </w:pPr>
      <w:r>
        <w:t>Materiały dodatkowe:</w:t>
      </w:r>
      <w:r w:rsidRPr="00C53DB9">
        <w:rPr>
          <w:noProof/>
        </w:rPr>
        <w:t xml:space="preserve"> </w:t>
      </w:r>
    </w:p>
    <w:p w:rsidR="00DA2BFF" w:rsidRDefault="00DA2BFF" w:rsidP="00C53DB9">
      <w:r w:rsidRPr="0062277C">
        <w:rPr>
          <w:noProof/>
          <w:lang w:eastAsia="pl-PL"/>
        </w:rPr>
        <w:pict>
          <v:shape id="Obraz 5" o:spid="_x0000_i1029" type="#_x0000_t75" style="width:459pt;height:618.75pt;visibility:visible">
            <v:imagedata r:id="rId18" o:title=""/>
          </v:shape>
        </w:pict>
      </w:r>
      <w:r>
        <w:br w:type="page"/>
      </w:r>
    </w:p>
    <w:p w:rsidR="00DA2BFF" w:rsidRDefault="00DA2BFF" w:rsidP="00C53DB9">
      <w:pPr>
        <w:jc w:val="center"/>
      </w:pPr>
      <w:r w:rsidRPr="0062277C">
        <w:rPr>
          <w:noProof/>
          <w:lang w:eastAsia="pl-PL"/>
        </w:rPr>
        <w:pict>
          <v:shape id="Obraz 6" o:spid="_x0000_i1030" type="#_x0000_t75" style="width:335.25pt;height:240.75pt;visibility:visible">
            <v:imagedata r:id="rId19" o:title=""/>
          </v:shape>
        </w:pict>
      </w:r>
    </w:p>
    <w:p w:rsidR="00DA2BFF" w:rsidRDefault="00DA2BFF" w:rsidP="00A435E7">
      <w:pPr>
        <w:jc w:val="center"/>
      </w:pPr>
    </w:p>
    <w:p w:rsidR="00DA2BFF" w:rsidRDefault="00DA2BFF" w:rsidP="006A24ED">
      <w:pPr>
        <w:spacing w:line="240" w:lineRule="auto"/>
      </w:pPr>
      <w:r>
        <w:t xml:space="preserve">Uzupełnienie wiadomości: </w:t>
      </w:r>
    </w:p>
    <w:p w:rsidR="00DA2BFF" w:rsidRDefault="00DA2BFF" w:rsidP="006A24ED">
      <w:pPr>
        <w:spacing w:line="240" w:lineRule="auto"/>
        <w:rPr>
          <w:rFonts w:ascii="Times New Roman" w:hAnsi="Times New Roman"/>
        </w:rPr>
      </w:pPr>
      <w:r>
        <w:rPr>
          <w:rFonts w:ascii="Times New Roman" w:hAnsi="Times New Roman"/>
        </w:rPr>
        <w:t>Dembińska-Kieć A., Naskalski J.W., Solnica B. Diagnostyka laboratoryjna z elementami biochemii klinicznej, Edra Urban &amp; Partner, Wrocław 2022, wyd. 5</w:t>
      </w:r>
    </w:p>
    <w:p w:rsidR="00DA2BFF" w:rsidRDefault="00DA2BFF" w:rsidP="006A24ED">
      <w:pPr>
        <w:spacing w:line="240" w:lineRule="auto"/>
        <w:rPr>
          <w:rFonts w:ascii="Times New Roman" w:hAnsi="Times New Roman"/>
        </w:rPr>
      </w:pPr>
      <w:hyperlink r:id="rId20" w:history="1">
        <w:r>
          <w:rPr>
            <w:rStyle w:val="Hyperlink"/>
          </w:rPr>
          <w:t>https://www.mp.pl/</w:t>
        </w:r>
      </w:hyperlink>
    </w:p>
    <w:p w:rsidR="00DA2BFF" w:rsidRDefault="00DA2BFF" w:rsidP="002B6783">
      <w:bookmarkStart w:id="3" w:name="_GoBack"/>
      <w:bookmarkEnd w:id="3"/>
    </w:p>
    <w:sectPr w:rsidR="00DA2BFF" w:rsidSect="003C7A69">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leksandra Makarewicz" w:date="2024-02-02T12:57:00Z" w:initials="AM">
    <w:p w:rsidR="00DA2BFF" w:rsidRDefault="00DA2BFF" w:rsidP="00283F51">
      <w:pPr>
        <w:pStyle w:val="NormalWeb"/>
        <w:shd w:val="clear" w:color="auto" w:fill="FFFFFF"/>
        <w:spacing w:before="0" w:beforeAutospacing="0" w:after="150" w:afterAutospacing="0"/>
        <w:rPr>
          <w:rFonts w:ascii="MuseoSans" w:hAnsi="MuseoSans"/>
          <w:color w:val="434A54"/>
          <w:sz w:val="27"/>
          <w:szCs w:val="27"/>
        </w:rPr>
      </w:pPr>
      <w:r>
        <w:rPr>
          <w:rStyle w:val="CommentReference"/>
        </w:rPr>
        <w:annotationRef/>
      </w:r>
      <w:r>
        <w:rPr>
          <w:rStyle w:val="Strong"/>
          <w:rFonts w:ascii="MuseoSans" w:hAnsi="MuseoSans"/>
          <w:color w:val="434A54"/>
          <w:sz w:val="27"/>
          <w:szCs w:val="27"/>
        </w:rPr>
        <w:t>Albuminy</w:t>
      </w:r>
      <w:r>
        <w:rPr>
          <w:rFonts w:ascii="MuseoSans" w:hAnsi="MuseoSans"/>
          <w:color w:val="434A54"/>
          <w:sz w:val="27"/>
          <w:szCs w:val="27"/>
        </w:rPr>
        <w:t> – spadek stężenia może być spowodowany stanami niedożywienia, utratą białek przez nerki (zespół nerczycowy), zaburzeniami trawienia i wchłaniania w jelitach (przewlekłe stany zapalne), zmniejszoną syntezą w wątrobie (uszkodzenie wątroby), przewlekłymi infekcjami czy nadczynnością tarczycy.</w:t>
      </w:r>
    </w:p>
    <w:p w:rsidR="00DA2BFF" w:rsidRDefault="00DA2BFF" w:rsidP="00283F51">
      <w:pPr>
        <w:pStyle w:val="NormalWeb"/>
        <w:shd w:val="clear" w:color="auto" w:fill="FFFFFF"/>
        <w:spacing w:before="0" w:beforeAutospacing="0" w:after="150" w:afterAutospacing="0"/>
        <w:rPr>
          <w:rFonts w:ascii="MuseoSans" w:hAnsi="MuseoSans"/>
          <w:color w:val="434A54"/>
          <w:sz w:val="27"/>
          <w:szCs w:val="27"/>
        </w:rPr>
      </w:pPr>
      <w:r>
        <w:rPr>
          <w:rStyle w:val="Strong"/>
          <w:rFonts w:ascii="MuseoSans" w:hAnsi="MuseoSans"/>
          <w:color w:val="434A54"/>
          <w:sz w:val="27"/>
          <w:szCs w:val="27"/>
        </w:rPr>
        <w:t>Alfa1-globuliny</w:t>
      </w:r>
      <w:r>
        <w:rPr>
          <w:rFonts w:ascii="MuseoSans" w:hAnsi="MuseoSans"/>
          <w:color w:val="434A54"/>
          <w:sz w:val="27"/>
          <w:szCs w:val="27"/>
        </w:rPr>
        <w:t> – niskie stężenie występuje w ostrych stanach zapalnych i fizjologicznie w czasie ciąży. Spadek stężenia występuje we wrodzonym niedoborze alfa1-antytrypsyny.</w:t>
      </w:r>
    </w:p>
    <w:p w:rsidR="00DA2BFF" w:rsidRDefault="00DA2BFF" w:rsidP="00283F51">
      <w:pPr>
        <w:pStyle w:val="NormalWeb"/>
        <w:shd w:val="clear" w:color="auto" w:fill="FFFFFF"/>
        <w:spacing w:before="0" w:beforeAutospacing="0" w:after="150" w:afterAutospacing="0"/>
        <w:rPr>
          <w:rFonts w:ascii="MuseoSans" w:hAnsi="MuseoSans"/>
          <w:color w:val="434A54"/>
          <w:sz w:val="27"/>
          <w:szCs w:val="27"/>
        </w:rPr>
      </w:pPr>
      <w:r>
        <w:rPr>
          <w:rStyle w:val="Strong"/>
          <w:rFonts w:ascii="MuseoSans" w:hAnsi="MuseoSans"/>
          <w:color w:val="434A54"/>
          <w:sz w:val="27"/>
          <w:szCs w:val="27"/>
        </w:rPr>
        <w:t>Alfa2-globuliny</w:t>
      </w:r>
      <w:r>
        <w:rPr>
          <w:rFonts w:ascii="MuseoSans" w:hAnsi="MuseoSans"/>
          <w:color w:val="434A54"/>
          <w:sz w:val="27"/>
          <w:szCs w:val="27"/>
        </w:rPr>
        <w:t> – obniżony poziom jest następstwem niedożywienia, przewlekłych stanów zapalnych jelit, niedokrwistości hemolitycznej, niewydolności wątroby. Ze wzrostem stężenia tej frakcji mamy do czynienia w stanach zapalnych, podczas leczenia sterydami, w zespole nerczycowym.</w:t>
      </w:r>
    </w:p>
    <w:p w:rsidR="00DA2BFF" w:rsidRDefault="00DA2BFF" w:rsidP="00283F51">
      <w:pPr>
        <w:pStyle w:val="NormalWeb"/>
        <w:shd w:val="clear" w:color="auto" w:fill="FFFFFF"/>
        <w:spacing w:before="0" w:beforeAutospacing="0" w:after="150" w:afterAutospacing="0"/>
        <w:rPr>
          <w:rFonts w:ascii="MuseoSans" w:hAnsi="MuseoSans"/>
          <w:color w:val="434A54"/>
          <w:sz w:val="27"/>
          <w:szCs w:val="27"/>
        </w:rPr>
      </w:pPr>
      <w:r>
        <w:rPr>
          <w:rStyle w:val="Strong"/>
          <w:rFonts w:ascii="MuseoSans" w:hAnsi="MuseoSans"/>
          <w:color w:val="434A54"/>
          <w:sz w:val="27"/>
          <w:szCs w:val="27"/>
        </w:rPr>
        <w:t>Beta-globuliny</w:t>
      </w:r>
      <w:r>
        <w:rPr>
          <w:rFonts w:ascii="MuseoSans" w:hAnsi="MuseoSans"/>
          <w:color w:val="434A54"/>
          <w:sz w:val="27"/>
          <w:szCs w:val="27"/>
        </w:rPr>
        <w:t> – spadek stężenia wskazuje na utratę białka, niedożywienie, reakcje zapalne lub na schorzenie autoimmunologiczne. Wzrost natomiast występuje w niedoborze żelaza, marskości wątroby. W tej frakcji mogą również lokalizować się białka produkowane przez szpiczaka mnogiego.</w:t>
      </w:r>
    </w:p>
    <w:p w:rsidR="00DA2BFF" w:rsidRDefault="00DA2BFF" w:rsidP="00283F51">
      <w:pPr>
        <w:pStyle w:val="NormalWeb"/>
        <w:shd w:val="clear" w:color="auto" w:fill="FFFFFF"/>
        <w:spacing w:before="0" w:beforeAutospacing="0" w:after="150" w:afterAutospacing="0"/>
        <w:rPr>
          <w:rFonts w:ascii="MuseoSans" w:hAnsi="MuseoSans"/>
          <w:color w:val="434A54"/>
          <w:sz w:val="27"/>
          <w:szCs w:val="27"/>
        </w:rPr>
      </w:pPr>
      <w:r>
        <w:rPr>
          <w:rStyle w:val="Strong"/>
          <w:rFonts w:ascii="MuseoSans" w:hAnsi="MuseoSans"/>
          <w:color w:val="434A54"/>
          <w:sz w:val="27"/>
          <w:szCs w:val="27"/>
        </w:rPr>
        <w:t>Gamma-globuliny</w:t>
      </w:r>
      <w:r>
        <w:rPr>
          <w:rFonts w:ascii="MuseoSans" w:hAnsi="MuseoSans"/>
          <w:color w:val="434A54"/>
          <w:sz w:val="27"/>
          <w:szCs w:val="27"/>
        </w:rPr>
        <w:t> – niski poziom występuje fizjologicznie u noworodków ale również jako następstwo leczenia przeciwnowotworowego i przyjmowania sterydów. Zwiększone stężenie tej frakcji w postaci szerokiego prążka związane jest z infekcjami, nowotworami, AIDS i niektórymi chorobami autoimmunologicznymi. Prążek w postaci wysokiego i wąskiego szczytu świadczy o obecności białka monoklonalnego.</w:t>
      </w:r>
    </w:p>
    <w:p w:rsidR="00DA2BFF" w:rsidRDefault="00DA2BFF" w:rsidP="00283F51">
      <w:pPr>
        <w:pStyle w:val="NormalWeb"/>
        <w:shd w:val="clear" w:color="auto" w:fill="FFFFFF"/>
        <w:spacing w:before="0" w:beforeAutospacing="0" w:after="150" w:afterAutospacing="0"/>
        <w:rPr>
          <w:rFonts w:ascii="MuseoSans" w:hAnsi="MuseoSans"/>
          <w:color w:val="434A54"/>
          <w:sz w:val="27"/>
          <w:szCs w:val="27"/>
        </w:rPr>
      </w:pPr>
      <w:r>
        <w:rPr>
          <w:rFonts w:ascii="MuseoSans" w:hAnsi="MuseoSans"/>
          <w:color w:val="434A54"/>
          <w:sz w:val="27"/>
          <w:szCs w:val="27"/>
        </w:rPr>
        <w:t>Mostek czyli brak wyraźnej granicy między frakcjami beta- i gamma-globulin jest charakterystyczny dla przewlekłych stanów zapalnych, ale również marskości wątroby.</w:t>
      </w:r>
    </w:p>
    <w:p w:rsidR="00DA2BFF" w:rsidRDefault="00DA2BFF" w:rsidP="00283F51">
      <w:pPr>
        <w:pStyle w:val="NormalWeb"/>
        <w:shd w:val="clear" w:color="auto" w:fill="FFFFFF"/>
        <w:spacing w:before="0" w:beforeAutospacing="0" w:after="150" w:afterAutospacing="0"/>
      </w:pPr>
    </w:p>
  </w:comment>
  <w:comment w:id="1" w:author="Aleksandra Makarewicz" w:date="2023-06-06T11:42:00Z" w:initials="AM">
    <w:p w:rsidR="00DA2BFF" w:rsidRDefault="00DA2BFF" w:rsidP="00D3623D">
      <w:pPr>
        <w:pStyle w:val="CommentText"/>
      </w:pPr>
      <w:r>
        <w:rPr>
          <w:rStyle w:val="CommentReference"/>
        </w:rPr>
        <w:annotationRef/>
      </w:r>
      <w:r>
        <w:t>UKKCz zmniejsza ryzyko alloimmunizacji antygenami HLA oraz poprzetoczeniowego zakażenia CMV</w:t>
      </w:r>
    </w:p>
    <w:p w:rsidR="00DA2BFF" w:rsidRDefault="00DA2BFF" w:rsidP="00D3623D">
      <w:pPr>
        <w:pStyle w:val="CommentText"/>
      </w:pPr>
      <w:r>
        <w:t>Wskazania do stosowania 1. W leczeniu chorych z niedokrwistością, u których stwierdzono przeciwciała anty-HLA, lub podejrzewa się obecność tych przeciwciał. 2. Dla potencjalnych wielokrotnych biorców (zwłaszcza dla wielokrotnych biorców KKP), w celu zabezpieczenia ich przed alloimmunizacją antygenami HLA. 3. Do transfuzji dopłodowych i u noworodków. 4. W celu zabezpieczenia przed przeniesieniem zakażenia wirusem cytomegalii (CMV), zamiast KKCz od CMV-ujemnego dawcy.</w:t>
      </w:r>
    </w:p>
    <w:p w:rsidR="00DA2BFF" w:rsidRDefault="00DA2BFF" w:rsidP="00D3623D">
      <w:pPr>
        <w:pStyle w:val="CommentText"/>
      </w:pPr>
    </w:p>
    <w:p w:rsidR="00DA2BFF" w:rsidRDefault="00DA2BFF" w:rsidP="00D3623D">
      <w:pPr>
        <w:pStyle w:val="CommentText"/>
      </w:pPr>
      <w:r w:rsidRPr="00BC0A00">
        <w:t>Napromieniowanie hamuje zdolność proliferacyjną limfocytów, co umożliwia zapobieganie poprzetoczeniowej chorobie przeszczep przeciw biorcy, nie obniża natomiast zdolności immunogennych leukocytów i nie zapobiega immunizacji antygenami HLA</w:t>
      </w:r>
    </w:p>
    <w:p w:rsidR="00DA2BFF" w:rsidRDefault="00DA2BFF" w:rsidP="00D3623D">
      <w:pPr>
        <w:pStyle w:val="CommentText"/>
      </w:pPr>
      <w:r>
        <w:t>Wskazania do stosowania: Stosowanie NKKCz / RW bez koż. l.-pł. ma na celu zapobieganie TA - GvHD. Składnik wskazany jest w leczeniu chorych z niedokrwistością i wrodzoną / nabytą niewydolnością układu immunologicznego, szczególnie do transfuzji wewnątrzmacicznych i u noworodków z niską wagą urodzeniową oraz dla pacjentów otrzymujących leki immunosupresyjne. Napromieniowanie nie powoduje znaczącego uszkodzenia erytrocytów, wobec tego NKKCz / RW bez koż. l.-pł. może być stosowany dla wszystkich biorców.</w:t>
      </w:r>
    </w:p>
  </w:comment>
  <w:comment w:id="2" w:author="Aleksandra Makarewicz" w:date="2023-06-06T12:02:00Z" w:initials="AM">
    <w:p w:rsidR="00DA2BFF" w:rsidRDefault="00DA2BFF" w:rsidP="00D3623D">
      <w:pPr>
        <w:pStyle w:val="CommentText"/>
      </w:pPr>
      <w:r>
        <w:rPr>
          <w:rStyle w:val="CommentReference"/>
        </w:rPr>
        <w:annotationRef/>
      </w:r>
      <w:r>
        <w:t>Co oznacza wynik?</w:t>
      </w:r>
    </w:p>
    <w:p w:rsidR="00DA2BFF" w:rsidRDefault="00DA2BFF" w:rsidP="00D3623D">
      <w:pPr>
        <w:pStyle w:val="CommentText"/>
      </w:pPr>
      <w:r>
        <w:t xml:space="preserve">Jeżeli BTA jest dodatni oznacza to, że na powierzchni erytrocytów przyłączone są przeciwciała. Zasadniczo, im silniejsza jest reakcja BTA, tym więcej przeciwciał znajduje się na erytrocytach. Test ten wykrywa obecność przeciwciał, ale nie mówi nic o ich źródle i typie. Mogą one być związane z reakcją poprzetoczeniową, reakcją autoimmunologiczną, zakażeniem, przyjmowaniem leków, konfliktem Rh pomiędzy matką i dzieckiem. </w:t>
      </w:r>
    </w:p>
    <w:p w:rsidR="00DA2BFF" w:rsidRDefault="00DA2BFF" w:rsidP="00D3623D">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BFF" w:rsidRDefault="00DA2BFF" w:rsidP="00222204">
      <w:pPr>
        <w:spacing w:after="0" w:line="240" w:lineRule="auto"/>
      </w:pPr>
      <w:r>
        <w:separator/>
      </w:r>
    </w:p>
  </w:endnote>
  <w:endnote w:type="continuationSeparator" w:id="0">
    <w:p w:rsidR="00DA2BFF" w:rsidRDefault="00DA2BFF" w:rsidP="00222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useo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BFF" w:rsidRDefault="00DA2BFF" w:rsidP="00222204">
      <w:pPr>
        <w:spacing w:after="0" w:line="240" w:lineRule="auto"/>
      </w:pPr>
      <w:r>
        <w:separator/>
      </w:r>
    </w:p>
  </w:footnote>
  <w:footnote w:type="continuationSeparator" w:id="0">
    <w:p w:rsidR="00DA2BFF" w:rsidRDefault="00DA2BFF" w:rsidP="002222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3B3B"/>
    <w:multiLevelType w:val="hybridMultilevel"/>
    <w:tmpl w:val="C0062B2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nsid w:val="15B27CCF"/>
    <w:multiLevelType w:val="hybridMultilevel"/>
    <w:tmpl w:val="B706E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7012753"/>
    <w:multiLevelType w:val="hybridMultilevel"/>
    <w:tmpl w:val="98E29B66"/>
    <w:lvl w:ilvl="0" w:tplc="1A1AA988">
      <w:start w:val="1"/>
      <w:numFmt w:val="bullet"/>
      <w:lvlText w:val="•"/>
      <w:lvlJc w:val="left"/>
      <w:pPr>
        <w:tabs>
          <w:tab w:val="num" w:pos="720"/>
        </w:tabs>
        <w:ind w:left="720" w:hanging="360"/>
      </w:pPr>
      <w:rPr>
        <w:rFonts w:ascii="Arial" w:hAnsi="Arial" w:hint="default"/>
      </w:rPr>
    </w:lvl>
    <w:lvl w:ilvl="1" w:tplc="75EEAD98">
      <w:numFmt w:val="bullet"/>
      <w:lvlText w:val="•"/>
      <w:lvlJc w:val="left"/>
      <w:pPr>
        <w:tabs>
          <w:tab w:val="num" w:pos="1440"/>
        </w:tabs>
        <w:ind w:left="1440" w:hanging="360"/>
      </w:pPr>
      <w:rPr>
        <w:rFonts w:ascii="Arial" w:hAnsi="Arial" w:hint="default"/>
      </w:rPr>
    </w:lvl>
    <w:lvl w:ilvl="2" w:tplc="34EEE8DA" w:tentative="1">
      <w:start w:val="1"/>
      <w:numFmt w:val="bullet"/>
      <w:lvlText w:val="•"/>
      <w:lvlJc w:val="left"/>
      <w:pPr>
        <w:tabs>
          <w:tab w:val="num" w:pos="2160"/>
        </w:tabs>
        <w:ind w:left="2160" w:hanging="360"/>
      </w:pPr>
      <w:rPr>
        <w:rFonts w:ascii="Arial" w:hAnsi="Arial" w:hint="default"/>
      </w:rPr>
    </w:lvl>
    <w:lvl w:ilvl="3" w:tplc="9BD82998" w:tentative="1">
      <w:start w:val="1"/>
      <w:numFmt w:val="bullet"/>
      <w:lvlText w:val="•"/>
      <w:lvlJc w:val="left"/>
      <w:pPr>
        <w:tabs>
          <w:tab w:val="num" w:pos="2880"/>
        </w:tabs>
        <w:ind w:left="2880" w:hanging="360"/>
      </w:pPr>
      <w:rPr>
        <w:rFonts w:ascii="Arial" w:hAnsi="Arial" w:hint="default"/>
      </w:rPr>
    </w:lvl>
    <w:lvl w:ilvl="4" w:tplc="1B70191E" w:tentative="1">
      <w:start w:val="1"/>
      <w:numFmt w:val="bullet"/>
      <w:lvlText w:val="•"/>
      <w:lvlJc w:val="left"/>
      <w:pPr>
        <w:tabs>
          <w:tab w:val="num" w:pos="3600"/>
        </w:tabs>
        <w:ind w:left="3600" w:hanging="360"/>
      </w:pPr>
      <w:rPr>
        <w:rFonts w:ascii="Arial" w:hAnsi="Arial" w:hint="default"/>
      </w:rPr>
    </w:lvl>
    <w:lvl w:ilvl="5" w:tplc="F38A820A" w:tentative="1">
      <w:start w:val="1"/>
      <w:numFmt w:val="bullet"/>
      <w:lvlText w:val="•"/>
      <w:lvlJc w:val="left"/>
      <w:pPr>
        <w:tabs>
          <w:tab w:val="num" w:pos="4320"/>
        </w:tabs>
        <w:ind w:left="4320" w:hanging="360"/>
      </w:pPr>
      <w:rPr>
        <w:rFonts w:ascii="Arial" w:hAnsi="Arial" w:hint="default"/>
      </w:rPr>
    </w:lvl>
    <w:lvl w:ilvl="6" w:tplc="22FC612C" w:tentative="1">
      <w:start w:val="1"/>
      <w:numFmt w:val="bullet"/>
      <w:lvlText w:val="•"/>
      <w:lvlJc w:val="left"/>
      <w:pPr>
        <w:tabs>
          <w:tab w:val="num" w:pos="5040"/>
        </w:tabs>
        <w:ind w:left="5040" w:hanging="360"/>
      </w:pPr>
      <w:rPr>
        <w:rFonts w:ascii="Arial" w:hAnsi="Arial" w:hint="default"/>
      </w:rPr>
    </w:lvl>
    <w:lvl w:ilvl="7" w:tplc="33B286A4" w:tentative="1">
      <w:start w:val="1"/>
      <w:numFmt w:val="bullet"/>
      <w:lvlText w:val="•"/>
      <w:lvlJc w:val="left"/>
      <w:pPr>
        <w:tabs>
          <w:tab w:val="num" w:pos="5760"/>
        </w:tabs>
        <w:ind w:left="5760" w:hanging="360"/>
      </w:pPr>
      <w:rPr>
        <w:rFonts w:ascii="Arial" w:hAnsi="Arial" w:hint="default"/>
      </w:rPr>
    </w:lvl>
    <w:lvl w:ilvl="8" w:tplc="B06A635A" w:tentative="1">
      <w:start w:val="1"/>
      <w:numFmt w:val="bullet"/>
      <w:lvlText w:val="•"/>
      <w:lvlJc w:val="left"/>
      <w:pPr>
        <w:tabs>
          <w:tab w:val="num" w:pos="6480"/>
        </w:tabs>
        <w:ind w:left="6480" w:hanging="360"/>
      </w:pPr>
      <w:rPr>
        <w:rFonts w:ascii="Arial" w:hAnsi="Arial" w:hint="default"/>
      </w:rPr>
    </w:lvl>
  </w:abstractNum>
  <w:abstractNum w:abstractNumId="3">
    <w:nsid w:val="215C75F7"/>
    <w:multiLevelType w:val="hybridMultilevel"/>
    <w:tmpl w:val="EA7C4872"/>
    <w:lvl w:ilvl="0" w:tplc="0415000F">
      <w:start w:val="1"/>
      <w:numFmt w:val="decimal"/>
      <w:lvlText w:val="%1."/>
      <w:lvlJc w:val="left"/>
      <w:pPr>
        <w:ind w:left="360" w:hanging="360"/>
      </w:pPr>
      <w:rPr>
        <w:rFonts w:cs="Times New Roman" w:hint="default"/>
      </w:r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1">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21CC36A6"/>
    <w:multiLevelType w:val="hybridMultilevel"/>
    <w:tmpl w:val="77349748"/>
    <w:lvl w:ilvl="0" w:tplc="289C448E">
      <w:start w:val="1"/>
      <w:numFmt w:val="bullet"/>
      <w:lvlText w:val="-"/>
      <w:lvlJc w:val="left"/>
      <w:pPr>
        <w:tabs>
          <w:tab w:val="num" w:pos="720"/>
        </w:tabs>
        <w:ind w:left="720" w:hanging="360"/>
      </w:pPr>
      <w:rPr>
        <w:rFonts w:ascii="Times New Roman" w:hAnsi="Times New Roman" w:hint="default"/>
      </w:rPr>
    </w:lvl>
    <w:lvl w:ilvl="1" w:tplc="661A816A" w:tentative="1">
      <w:start w:val="1"/>
      <w:numFmt w:val="bullet"/>
      <w:lvlText w:val="-"/>
      <w:lvlJc w:val="left"/>
      <w:pPr>
        <w:tabs>
          <w:tab w:val="num" w:pos="1440"/>
        </w:tabs>
        <w:ind w:left="1440" w:hanging="360"/>
      </w:pPr>
      <w:rPr>
        <w:rFonts w:ascii="Times New Roman" w:hAnsi="Times New Roman" w:hint="default"/>
      </w:rPr>
    </w:lvl>
    <w:lvl w:ilvl="2" w:tplc="2A0EBA82" w:tentative="1">
      <w:start w:val="1"/>
      <w:numFmt w:val="bullet"/>
      <w:lvlText w:val="-"/>
      <w:lvlJc w:val="left"/>
      <w:pPr>
        <w:tabs>
          <w:tab w:val="num" w:pos="2160"/>
        </w:tabs>
        <w:ind w:left="2160" w:hanging="360"/>
      </w:pPr>
      <w:rPr>
        <w:rFonts w:ascii="Times New Roman" w:hAnsi="Times New Roman" w:hint="default"/>
      </w:rPr>
    </w:lvl>
    <w:lvl w:ilvl="3" w:tplc="BC48AA70" w:tentative="1">
      <w:start w:val="1"/>
      <w:numFmt w:val="bullet"/>
      <w:lvlText w:val="-"/>
      <w:lvlJc w:val="left"/>
      <w:pPr>
        <w:tabs>
          <w:tab w:val="num" w:pos="2880"/>
        </w:tabs>
        <w:ind w:left="2880" w:hanging="360"/>
      </w:pPr>
      <w:rPr>
        <w:rFonts w:ascii="Times New Roman" w:hAnsi="Times New Roman" w:hint="default"/>
      </w:rPr>
    </w:lvl>
    <w:lvl w:ilvl="4" w:tplc="04AA2A90" w:tentative="1">
      <w:start w:val="1"/>
      <w:numFmt w:val="bullet"/>
      <w:lvlText w:val="-"/>
      <w:lvlJc w:val="left"/>
      <w:pPr>
        <w:tabs>
          <w:tab w:val="num" w:pos="3600"/>
        </w:tabs>
        <w:ind w:left="3600" w:hanging="360"/>
      </w:pPr>
      <w:rPr>
        <w:rFonts w:ascii="Times New Roman" w:hAnsi="Times New Roman" w:hint="default"/>
      </w:rPr>
    </w:lvl>
    <w:lvl w:ilvl="5" w:tplc="5A42F8C6" w:tentative="1">
      <w:start w:val="1"/>
      <w:numFmt w:val="bullet"/>
      <w:lvlText w:val="-"/>
      <w:lvlJc w:val="left"/>
      <w:pPr>
        <w:tabs>
          <w:tab w:val="num" w:pos="4320"/>
        </w:tabs>
        <w:ind w:left="4320" w:hanging="360"/>
      </w:pPr>
      <w:rPr>
        <w:rFonts w:ascii="Times New Roman" w:hAnsi="Times New Roman" w:hint="default"/>
      </w:rPr>
    </w:lvl>
    <w:lvl w:ilvl="6" w:tplc="771040DA" w:tentative="1">
      <w:start w:val="1"/>
      <w:numFmt w:val="bullet"/>
      <w:lvlText w:val="-"/>
      <w:lvlJc w:val="left"/>
      <w:pPr>
        <w:tabs>
          <w:tab w:val="num" w:pos="5040"/>
        </w:tabs>
        <w:ind w:left="5040" w:hanging="360"/>
      </w:pPr>
      <w:rPr>
        <w:rFonts w:ascii="Times New Roman" w:hAnsi="Times New Roman" w:hint="default"/>
      </w:rPr>
    </w:lvl>
    <w:lvl w:ilvl="7" w:tplc="70060D22" w:tentative="1">
      <w:start w:val="1"/>
      <w:numFmt w:val="bullet"/>
      <w:lvlText w:val="-"/>
      <w:lvlJc w:val="left"/>
      <w:pPr>
        <w:tabs>
          <w:tab w:val="num" w:pos="5760"/>
        </w:tabs>
        <w:ind w:left="5760" w:hanging="360"/>
      </w:pPr>
      <w:rPr>
        <w:rFonts w:ascii="Times New Roman" w:hAnsi="Times New Roman" w:hint="default"/>
      </w:rPr>
    </w:lvl>
    <w:lvl w:ilvl="8" w:tplc="27FEA2C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81E357F"/>
    <w:multiLevelType w:val="hybridMultilevel"/>
    <w:tmpl w:val="235ABB2A"/>
    <w:lvl w:ilvl="0" w:tplc="C234F9FC">
      <w:start w:val="1"/>
      <w:numFmt w:val="bullet"/>
      <w:lvlText w:val="•"/>
      <w:lvlJc w:val="left"/>
      <w:pPr>
        <w:tabs>
          <w:tab w:val="num" w:pos="720"/>
        </w:tabs>
        <w:ind w:left="720" w:hanging="360"/>
      </w:pPr>
      <w:rPr>
        <w:rFonts w:ascii="Arial" w:hAnsi="Arial" w:hint="default"/>
      </w:rPr>
    </w:lvl>
    <w:lvl w:ilvl="1" w:tplc="E01E589E" w:tentative="1">
      <w:start w:val="1"/>
      <w:numFmt w:val="bullet"/>
      <w:lvlText w:val="•"/>
      <w:lvlJc w:val="left"/>
      <w:pPr>
        <w:tabs>
          <w:tab w:val="num" w:pos="1440"/>
        </w:tabs>
        <w:ind w:left="1440" w:hanging="360"/>
      </w:pPr>
      <w:rPr>
        <w:rFonts w:ascii="Arial" w:hAnsi="Arial" w:hint="default"/>
      </w:rPr>
    </w:lvl>
    <w:lvl w:ilvl="2" w:tplc="13F8624E" w:tentative="1">
      <w:start w:val="1"/>
      <w:numFmt w:val="bullet"/>
      <w:lvlText w:val="•"/>
      <w:lvlJc w:val="left"/>
      <w:pPr>
        <w:tabs>
          <w:tab w:val="num" w:pos="2160"/>
        </w:tabs>
        <w:ind w:left="2160" w:hanging="360"/>
      </w:pPr>
      <w:rPr>
        <w:rFonts w:ascii="Arial" w:hAnsi="Arial" w:hint="default"/>
      </w:rPr>
    </w:lvl>
    <w:lvl w:ilvl="3" w:tplc="A7783562" w:tentative="1">
      <w:start w:val="1"/>
      <w:numFmt w:val="bullet"/>
      <w:lvlText w:val="•"/>
      <w:lvlJc w:val="left"/>
      <w:pPr>
        <w:tabs>
          <w:tab w:val="num" w:pos="2880"/>
        </w:tabs>
        <w:ind w:left="2880" w:hanging="360"/>
      </w:pPr>
      <w:rPr>
        <w:rFonts w:ascii="Arial" w:hAnsi="Arial" w:hint="default"/>
      </w:rPr>
    </w:lvl>
    <w:lvl w:ilvl="4" w:tplc="3D58DA38" w:tentative="1">
      <w:start w:val="1"/>
      <w:numFmt w:val="bullet"/>
      <w:lvlText w:val="•"/>
      <w:lvlJc w:val="left"/>
      <w:pPr>
        <w:tabs>
          <w:tab w:val="num" w:pos="3600"/>
        </w:tabs>
        <w:ind w:left="3600" w:hanging="360"/>
      </w:pPr>
      <w:rPr>
        <w:rFonts w:ascii="Arial" w:hAnsi="Arial" w:hint="default"/>
      </w:rPr>
    </w:lvl>
    <w:lvl w:ilvl="5" w:tplc="3E967598" w:tentative="1">
      <w:start w:val="1"/>
      <w:numFmt w:val="bullet"/>
      <w:lvlText w:val="•"/>
      <w:lvlJc w:val="left"/>
      <w:pPr>
        <w:tabs>
          <w:tab w:val="num" w:pos="4320"/>
        </w:tabs>
        <w:ind w:left="4320" w:hanging="360"/>
      </w:pPr>
      <w:rPr>
        <w:rFonts w:ascii="Arial" w:hAnsi="Arial" w:hint="default"/>
      </w:rPr>
    </w:lvl>
    <w:lvl w:ilvl="6" w:tplc="B0842BFE" w:tentative="1">
      <w:start w:val="1"/>
      <w:numFmt w:val="bullet"/>
      <w:lvlText w:val="•"/>
      <w:lvlJc w:val="left"/>
      <w:pPr>
        <w:tabs>
          <w:tab w:val="num" w:pos="5040"/>
        </w:tabs>
        <w:ind w:left="5040" w:hanging="360"/>
      </w:pPr>
      <w:rPr>
        <w:rFonts w:ascii="Arial" w:hAnsi="Arial" w:hint="default"/>
      </w:rPr>
    </w:lvl>
    <w:lvl w:ilvl="7" w:tplc="37D08832" w:tentative="1">
      <w:start w:val="1"/>
      <w:numFmt w:val="bullet"/>
      <w:lvlText w:val="•"/>
      <w:lvlJc w:val="left"/>
      <w:pPr>
        <w:tabs>
          <w:tab w:val="num" w:pos="5760"/>
        </w:tabs>
        <w:ind w:left="5760" w:hanging="360"/>
      </w:pPr>
      <w:rPr>
        <w:rFonts w:ascii="Arial" w:hAnsi="Arial" w:hint="default"/>
      </w:rPr>
    </w:lvl>
    <w:lvl w:ilvl="8" w:tplc="6D46897C" w:tentative="1">
      <w:start w:val="1"/>
      <w:numFmt w:val="bullet"/>
      <w:lvlText w:val="•"/>
      <w:lvlJc w:val="left"/>
      <w:pPr>
        <w:tabs>
          <w:tab w:val="num" w:pos="6480"/>
        </w:tabs>
        <w:ind w:left="6480" w:hanging="360"/>
      </w:pPr>
      <w:rPr>
        <w:rFonts w:ascii="Arial" w:hAnsi="Arial" w:hint="default"/>
      </w:rPr>
    </w:lvl>
  </w:abstractNum>
  <w:abstractNum w:abstractNumId="6">
    <w:nsid w:val="2ED8622A"/>
    <w:multiLevelType w:val="hybridMultilevel"/>
    <w:tmpl w:val="B2480A4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3CD86CBD"/>
    <w:multiLevelType w:val="hybridMultilevel"/>
    <w:tmpl w:val="E2243C0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3DB51628"/>
    <w:multiLevelType w:val="hybridMultilevel"/>
    <w:tmpl w:val="0D96AFD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4B9433DF"/>
    <w:multiLevelType w:val="hybridMultilevel"/>
    <w:tmpl w:val="5B880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1EA454F"/>
    <w:multiLevelType w:val="hybridMultilevel"/>
    <w:tmpl w:val="3E327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154277B"/>
    <w:multiLevelType w:val="hybridMultilevel"/>
    <w:tmpl w:val="ADDA32F2"/>
    <w:lvl w:ilvl="0" w:tplc="FB381E40">
      <w:start w:val="1"/>
      <w:numFmt w:val="bullet"/>
      <w:lvlText w:val="•"/>
      <w:lvlJc w:val="left"/>
      <w:pPr>
        <w:tabs>
          <w:tab w:val="num" w:pos="720"/>
        </w:tabs>
        <w:ind w:left="720" w:hanging="360"/>
      </w:pPr>
      <w:rPr>
        <w:rFonts w:ascii="Arial" w:hAnsi="Arial" w:hint="default"/>
      </w:rPr>
    </w:lvl>
    <w:lvl w:ilvl="1" w:tplc="EE72296E">
      <w:numFmt w:val="bullet"/>
      <w:lvlText w:val="•"/>
      <w:lvlJc w:val="left"/>
      <w:pPr>
        <w:tabs>
          <w:tab w:val="num" w:pos="1440"/>
        </w:tabs>
        <w:ind w:left="1440" w:hanging="360"/>
      </w:pPr>
      <w:rPr>
        <w:rFonts w:ascii="Arial" w:hAnsi="Arial" w:hint="default"/>
      </w:rPr>
    </w:lvl>
    <w:lvl w:ilvl="2" w:tplc="EB301D5C" w:tentative="1">
      <w:start w:val="1"/>
      <w:numFmt w:val="bullet"/>
      <w:lvlText w:val="•"/>
      <w:lvlJc w:val="left"/>
      <w:pPr>
        <w:tabs>
          <w:tab w:val="num" w:pos="2160"/>
        </w:tabs>
        <w:ind w:left="2160" w:hanging="360"/>
      </w:pPr>
      <w:rPr>
        <w:rFonts w:ascii="Arial" w:hAnsi="Arial" w:hint="default"/>
      </w:rPr>
    </w:lvl>
    <w:lvl w:ilvl="3" w:tplc="936E6652" w:tentative="1">
      <w:start w:val="1"/>
      <w:numFmt w:val="bullet"/>
      <w:lvlText w:val="•"/>
      <w:lvlJc w:val="left"/>
      <w:pPr>
        <w:tabs>
          <w:tab w:val="num" w:pos="2880"/>
        </w:tabs>
        <w:ind w:left="2880" w:hanging="360"/>
      </w:pPr>
      <w:rPr>
        <w:rFonts w:ascii="Arial" w:hAnsi="Arial" w:hint="default"/>
      </w:rPr>
    </w:lvl>
    <w:lvl w:ilvl="4" w:tplc="D1D08F46" w:tentative="1">
      <w:start w:val="1"/>
      <w:numFmt w:val="bullet"/>
      <w:lvlText w:val="•"/>
      <w:lvlJc w:val="left"/>
      <w:pPr>
        <w:tabs>
          <w:tab w:val="num" w:pos="3600"/>
        </w:tabs>
        <w:ind w:left="3600" w:hanging="360"/>
      </w:pPr>
      <w:rPr>
        <w:rFonts w:ascii="Arial" w:hAnsi="Arial" w:hint="default"/>
      </w:rPr>
    </w:lvl>
    <w:lvl w:ilvl="5" w:tplc="D506ED54" w:tentative="1">
      <w:start w:val="1"/>
      <w:numFmt w:val="bullet"/>
      <w:lvlText w:val="•"/>
      <w:lvlJc w:val="left"/>
      <w:pPr>
        <w:tabs>
          <w:tab w:val="num" w:pos="4320"/>
        </w:tabs>
        <w:ind w:left="4320" w:hanging="360"/>
      </w:pPr>
      <w:rPr>
        <w:rFonts w:ascii="Arial" w:hAnsi="Arial" w:hint="default"/>
      </w:rPr>
    </w:lvl>
    <w:lvl w:ilvl="6" w:tplc="67942272" w:tentative="1">
      <w:start w:val="1"/>
      <w:numFmt w:val="bullet"/>
      <w:lvlText w:val="•"/>
      <w:lvlJc w:val="left"/>
      <w:pPr>
        <w:tabs>
          <w:tab w:val="num" w:pos="5040"/>
        </w:tabs>
        <w:ind w:left="5040" w:hanging="360"/>
      </w:pPr>
      <w:rPr>
        <w:rFonts w:ascii="Arial" w:hAnsi="Arial" w:hint="default"/>
      </w:rPr>
    </w:lvl>
    <w:lvl w:ilvl="7" w:tplc="CFC67230" w:tentative="1">
      <w:start w:val="1"/>
      <w:numFmt w:val="bullet"/>
      <w:lvlText w:val="•"/>
      <w:lvlJc w:val="left"/>
      <w:pPr>
        <w:tabs>
          <w:tab w:val="num" w:pos="5760"/>
        </w:tabs>
        <w:ind w:left="5760" w:hanging="360"/>
      </w:pPr>
      <w:rPr>
        <w:rFonts w:ascii="Arial" w:hAnsi="Arial" w:hint="default"/>
      </w:rPr>
    </w:lvl>
    <w:lvl w:ilvl="8" w:tplc="F6A2287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10"/>
  </w:num>
  <w:num w:numId="4">
    <w:abstractNumId w:val="8"/>
  </w:num>
  <w:num w:numId="5">
    <w:abstractNumId w:val="1"/>
  </w:num>
  <w:num w:numId="6">
    <w:abstractNumId w:val="7"/>
  </w:num>
  <w:num w:numId="7">
    <w:abstractNumId w:val="5"/>
  </w:num>
  <w:num w:numId="8">
    <w:abstractNumId w:val="2"/>
  </w:num>
  <w:num w:numId="9">
    <w:abstractNumId w:val="11"/>
  </w:num>
  <w:num w:numId="10">
    <w:abstractNumId w:val="4"/>
  </w:num>
  <w:num w:numId="11">
    <w:abstractNumId w:val="6"/>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77A8"/>
    <w:rsid w:val="00003E19"/>
    <w:rsid w:val="00021272"/>
    <w:rsid w:val="00055D73"/>
    <w:rsid w:val="00084615"/>
    <w:rsid w:val="00086DFD"/>
    <w:rsid w:val="000B1BD6"/>
    <w:rsid w:val="000D08C4"/>
    <w:rsid w:val="000D7B14"/>
    <w:rsid w:val="00106313"/>
    <w:rsid w:val="00112728"/>
    <w:rsid w:val="00141246"/>
    <w:rsid w:val="001542B6"/>
    <w:rsid w:val="00162B39"/>
    <w:rsid w:val="00166136"/>
    <w:rsid w:val="00181240"/>
    <w:rsid w:val="001A1893"/>
    <w:rsid w:val="001A4031"/>
    <w:rsid w:val="001B0299"/>
    <w:rsid w:val="00200C87"/>
    <w:rsid w:val="002219E7"/>
    <w:rsid w:val="00222204"/>
    <w:rsid w:val="00237A46"/>
    <w:rsid w:val="00242CFB"/>
    <w:rsid w:val="00283F51"/>
    <w:rsid w:val="00286FBF"/>
    <w:rsid w:val="002905CC"/>
    <w:rsid w:val="002B6783"/>
    <w:rsid w:val="00317CF6"/>
    <w:rsid w:val="0032650D"/>
    <w:rsid w:val="00334B97"/>
    <w:rsid w:val="00374577"/>
    <w:rsid w:val="003C1C46"/>
    <w:rsid w:val="003C7A69"/>
    <w:rsid w:val="003F4111"/>
    <w:rsid w:val="003F741B"/>
    <w:rsid w:val="00437DC4"/>
    <w:rsid w:val="00462545"/>
    <w:rsid w:val="00472454"/>
    <w:rsid w:val="00495D39"/>
    <w:rsid w:val="004D0CBE"/>
    <w:rsid w:val="004E7C1A"/>
    <w:rsid w:val="004F5EB2"/>
    <w:rsid w:val="004F7A78"/>
    <w:rsid w:val="00530CE3"/>
    <w:rsid w:val="00545D47"/>
    <w:rsid w:val="005473AB"/>
    <w:rsid w:val="00557119"/>
    <w:rsid w:val="005577AE"/>
    <w:rsid w:val="005811E3"/>
    <w:rsid w:val="005A6DDC"/>
    <w:rsid w:val="005F5E67"/>
    <w:rsid w:val="0061083A"/>
    <w:rsid w:val="0062151A"/>
    <w:rsid w:val="0062277C"/>
    <w:rsid w:val="00636660"/>
    <w:rsid w:val="006560CB"/>
    <w:rsid w:val="0066142F"/>
    <w:rsid w:val="00674CC2"/>
    <w:rsid w:val="00681131"/>
    <w:rsid w:val="006A24ED"/>
    <w:rsid w:val="007556DC"/>
    <w:rsid w:val="00774AFC"/>
    <w:rsid w:val="007877A8"/>
    <w:rsid w:val="007A0EC6"/>
    <w:rsid w:val="007C1199"/>
    <w:rsid w:val="00814B6F"/>
    <w:rsid w:val="008165A1"/>
    <w:rsid w:val="00843D96"/>
    <w:rsid w:val="00860C35"/>
    <w:rsid w:val="008A7ECD"/>
    <w:rsid w:val="008D6185"/>
    <w:rsid w:val="009247EB"/>
    <w:rsid w:val="00946117"/>
    <w:rsid w:val="00984422"/>
    <w:rsid w:val="00990A78"/>
    <w:rsid w:val="009E7C03"/>
    <w:rsid w:val="00A21478"/>
    <w:rsid w:val="00A4334A"/>
    <w:rsid w:val="00A435E7"/>
    <w:rsid w:val="00A63396"/>
    <w:rsid w:val="00A63BC5"/>
    <w:rsid w:val="00A85837"/>
    <w:rsid w:val="00A9292B"/>
    <w:rsid w:val="00A92FAE"/>
    <w:rsid w:val="00AD44DF"/>
    <w:rsid w:val="00AD4C6A"/>
    <w:rsid w:val="00AE36C8"/>
    <w:rsid w:val="00AE7AAB"/>
    <w:rsid w:val="00B11093"/>
    <w:rsid w:val="00B45F6D"/>
    <w:rsid w:val="00B641F8"/>
    <w:rsid w:val="00B6782E"/>
    <w:rsid w:val="00B67A7C"/>
    <w:rsid w:val="00B73032"/>
    <w:rsid w:val="00B91D61"/>
    <w:rsid w:val="00BB3995"/>
    <w:rsid w:val="00BC0A00"/>
    <w:rsid w:val="00C03C31"/>
    <w:rsid w:val="00C46CF8"/>
    <w:rsid w:val="00C4773E"/>
    <w:rsid w:val="00C53DB9"/>
    <w:rsid w:val="00C845F7"/>
    <w:rsid w:val="00CD41EF"/>
    <w:rsid w:val="00D17384"/>
    <w:rsid w:val="00D30BF5"/>
    <w:rsid w:val="00D3623D"/>
    <w:rsid w:val="00D6151E"/>
    <w:rsid w:val="00DA2BFF"/>
    <w:rsid w:val="00DB7989"/>
    <w:rsid w:val="00DC4C5C"/>
    <w:rsid w:val="00DC75A6"/>
    <w:rsid w:val="00DC7E30"/>
    <w:rsid w:val="00DD4EC6"/>
    <w:rsid w:val="00DF07A3"/>
    <w:rsid w:val="00E020F3"/>
    <w:rsid w:val="00E03CE3"/>
    <w:rsid w:val="00E057A1"/>
    <w:rsid w:val="00E1431D"/>
    <w:rsid w:val="00E223D5"/>
    <w:rsid w:val="00E31A83"/>
    <w:rsid w:val="00E90D2C"/>
    <w:rsid w:val="00E95776"/>
    <w:rsid w:val="00EA798E"/>
    <w:rsid w:val="00EB5486"/>
    <w:rsid w:val="00EC7083"/>
    <w:rsid w:val="00ED00AA"/>
    <w:rsid w:val="00F73387"/>
    <w:rsid w:val="00FB39B7"/>
    <w:rsid w:val="00FD17F8"/>
    <w:rsid w:val="00FD4C5B"/>
    <w:rsid w:val="00FF660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A69"/>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A6DDC"/>
    <w:pPr>
      <w:ind w:left="720"/>
      <w:contextualSpacing/>
    </w:pPr>
  </w:style>
  <w:style w:type="character" w:styleId="Hyperlink">
    <w:name w:val="Hyperlink"/>
    <w:basedOn w:val="DefaultParagraphFont"/>
    <w:uiPriority w:val="99"/>
    <w:rsid w:val="005A6DDC"/>
    <w:rPr>
      <w:rFonts w:cs="Times New Roman"/>
      <w:color w:val="0000FF"/>
      <w:u w:val="single"/>
    </w:rPr>
  </w:style>
  <w:style w:type="paragraph" w:styleId="NormalWeb">
    <w:name w:val="Normal (Web)"/>
    <w:basedOn w:val="Normal"/>
    <w:uiPriority w:val="99"/>
    <w:rsid w:val="005A6DDC"/>
    <w:pPr>
      <w:spacing w:before="100" w:beforeAutospacing="1" w:after="100" w:afterAutospacing="1" w:line="240" w:lineRule="auto"/>
    </w:pPr>
    <w:rPr>
      <w:rFonts w:ascii="Times New Roman" w:eastAsia="Times New Roman" w:hAnsi="Times New Roman"/>
      <w:sz w:val="24"/>
      <w:szCs w:val="24"/>
      <w:lang w:eastAsia="pl-PL"/>
    </w:rPr>
  </w:style>
  <w:style w:type="character" w:styleId="FollowedHyperlink">
    <w:name w:val="FollowedHyperlink"/>
    <w:basedOn w:val="DefaultParagraphFont"/>
    <w:uiPriority w:val="99"/>
    <w:semiHidden/>
    <w:rsid w:val="00286FBF"/>
    <w:rPr>
      <w:rFonts w:cs="Times New Roman"/>
      <w:color w:val="954F72"/>
      <w:u w:val="single"/>
    </w:rPr>
  </w:style>
  <w:style w:type="character" w:styleId="CommentReference">
    <w:name w:val="annotation reference"/>
    <w:basedOn w:val="DefaultParagraphFont"/>
    <w:uiPriority w:val="99"/>
    <w:semiHidden/>
    <w:rsid w:val="00BC0A00"/>
    <w:rPr>
      <w:rFonts w:cs="Times New Roman"/>
      <w:sz w:val="16"/>
      <w:szCs w:val="16"/>
    </w:rPr>
  </w:style>
  <w:style w:type="paragraph" w:styleId="CommentText">
    <w:name w:val="annotation text"/>
    <w:basedOn w:val="Normal"/>
    <w:link w:val="CommentTextChar"/>
    <w:uiPriority w:val="99"/>
    <w:rsid w:val="00BC0A00"/>
    <w:pPr>
      <w:spacing w:line="240" w:lineRule="auto"/>
    </w:pPr>
    <w:rPr>
      <w:sz w:val="20"/>
      <w:szCs w:val="20"/>
    </w:rPr>
  </w:style>
  <w:style w:type="character" w:customStyle="1" w:styleId="CommentTextChar">
    <w:name w:val="Comment Text Char"/>
    <w:basedOn w:val="DefaultParagraphFont"/>
    <w:link w:val="CommentText"/>
    <w:uiPriority w:val="99"/>
    <w:locked/>
    <w:rsid w:val="00BC0A00"/>
    <w:rPr>
      <w:rFonts w:cs="Times New Roman"/>
      <w:sz w:val="20"/>
      <w:szCs w:val="20"/>
    </w:rPr>
  </w:style>
  <w:style w:type="paragraph" w:styleId="CommentSubject">
    <w:name w:val="annotation subject"/>
    <w:basedOn w:val="CommentText"/>
    <w:next w:val="CommentText"/>
    <w:link w:val="CommentSubjectChar"/>
    <w:uiPriority w:val="99"/>
    <w:semiHidden/>
    <w:rsid w:val="00BC0A00"/>
    <w:rPr>
      <w:b/>
      <w:bCs/>
    </w:rPr>
  </w:style>
  <w:style w:type="character" w:customStyle="1" w:styleId="CommentSubjectChar">
    <w:name w:val="Comment Subject Char"/>
    <w:basedOn w:val="CommentTextChar"/>
    <w:link w:val="CommentSubject"/>
    <w:uiPriority w:val="99"/>
    <w:semiHidden/>
    <w:locked/>
    <w:rsid w:val="00BC0A00"/>
    <w:rPr>
      <w:b/>
      <w:bCs/>
    </w:rPr>
  </w:style>
  <w:style w:type="paragraph" w:styleId="BalloonText">
    <w:name w:val="Balloon Text"/>
    <w:basedOn w:val="Normal"/>
    <w:link w:val="BalloonTextChar"/>
    <w:uiPriority w:val="99"/>
    <w:semiHidden/>
    <w:rsid w:val="00BC0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C0A00"/>
    <w:rPr>
      <w:rFonts w:ascii="Segoe UI" w:hAnsi="Segoe UI" w:cs="Segoe UI"/>
      <w:sz w:val="18"/>
      <w:szCs w:val="18"/>
    </w:rPr>
  </w:style>
  <w:style w:type="character" w:styleId="Strong">
    <w:name w:val="Strong"/>
    <w:basedOn w:val="DefaultParagraphFont"/>
    <w:uiPriority w:val="99"/>
    <w:qFormat/>
    <w:rsid w:val="00283F51"/>
    <w:rPr>
      <w:rFonts w:cs="Times New Roman"/>
      <w:b/>
      <w:bCs/>
    </w:rPr>
  </w:style>
  <w:style w:type="paragraph" w:styleId="EndnoteText">
    <w:name w:val="endnote text"/>
    <w:basedOn w:val="Normal"/>
    <w:link w:val="EndnoteTextChar"/>
    <w:uiPriority w:val="99"/>
    <w:semiHidden/>
    <w:rsid w:val="0022220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222204"/>
    <w:rPr>
      <w:rFonts w:cs="Times New Roman"/>
      <w:sz w:val="20"/>
      <w:szCs w:val="20"/>
    </w:rPr>
  </w:style>
  <w:style w:type="character" w:styleId="EndnoteReference">
    <w:name w:val="endnote reference"/>
    <w:basedOn w:val="DefaultParagraphFont"/>
    <w:uiPriority w:val="99"/>
    <w:semiHidden/>
    <w:rsid w:val="00222204"/>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179083542">
      <w:marLeft w:val="0"/>
      <w:marRight w:val="0"/>
      <w:marTop w:val="0"/>
      <w:marBottom w:val="0"/>
      <w:divBdr>
        <w:top w:val="none" w:sz="0" w:space="0" w:color="auto"/>
        <w:left w:val="none" w:sz="0" w:space="0" w:color="auto"/>
        <w:bottom w:val="none" w:sz="0" w:space="0" w:color="auto"/>
        <w:right w:val="none" w:sz="0" w:space="0" w:color="auto"/>
      </w:divBdr>
    </w:div>
    <w:div w:id="1179083544">
      <w:marLeft w:val="0"/>
      <w:marRight w:val="0"/>
      <w:marTop w:val="0"/>
      <w:marBottom w:val="0"/>
      <w:divBdr>
        <w:top w:val="none" w:sz="0" w:space="0" w:color="auto"/>
        <w:left w:val="none" w:sz="0" w:space="0" w:color="auto"/>
        <w:bottom w:val="none" w:sz="0" w:space="0" w:color="auto"/>
        <w:right w:val="none" w:sz="0" w:space="0" w:color="auto"/>
      </w:divBdr>
      <w:divsChild>
        <w:div w:id="1179083548">
          <w:marLeft w:val="0"/>
          <w:marRight w:val="0"/>
          <w:marTop w:val="0"/>
          <w:marBottom w:val="0"/>
          <w:divBdr>
            <w:top w:val="none" w:sz="0" w:space="0" w:color="auto"/>
            <w:left w:val="none" w:sz="0" w:space="0" w:color="auto"/>
            <w:bottom w:val="none" w:sz="0" w:space="0" w:color="auto"/>
            <w:right w:val="none" w:sz="0" w:space="0" w:color="auto"/>
          </w:divBdr>
        </w:div>
      </w:divsChild>
    </w:div>
    <w:div w:id="1179083547">
      <w:marLeft w:val="0"/>
      <w:marRight w:val="0"/>
      <w:marTop w:val="0"/>
      <w:marBottom w:val="0"/>
      <w:divBdr>
        <w:top w:val="none" w:sz="0" w:space="0" w:color="auto"/>
        <w:left w:val="none" w:sz="0" w:space="0" w:color="auto"/>
        <w:bottom w:val="none" w:sz="0" w:space="0" w:color="auto"/>
        <w:right w:val="none" w:sz="0" w:space="0" w:color="auto"/>
      </w:divBdr>
      <w:divsChild>
        <w:div w:id="1179083559">
          <w:marLeft w:val="806"/>
          <w:marRight w:val="0"/>
          <w:marTop w:val="75"/>
          <w:marBottom w:val="0"/>
          <w:divBdr>
            <w:top w:val="none" w:sz="0" w:space="0" w:color="auto"/>
            <w:left w:val="none" w:sz="0" w:space="0" w:color="auto"/>
            <w:bottom w:val="none" w:sz="0" w:space="0" w:color="auto"/>
            <w:right w:val="none" w:sz="0" w:space="0" w:color="auto"/>
          </w:divBdr>
        </w:div>
        <w:div w:id="1179083560">
          <w:marLeft w:val="806"/>
          <w:marRight w:val="0"/>
          <w:marTop w:val="75"/>
          <w:marBottom w:val="0"/>
          <w:divBdr>
            <w:top w:val="none" w:sz="0" w:space="0" w:color="auto"/>
            <w:left w:val="none" w:sz="0" w:space="0" w:color="auto"/>
            <w:bottom w:val="none" w:sz="0" w:space="0" w:color="auto"/>
            <w:right w:val="none" w:sz="0" w:space="0" w:color="auto"/>
          </w:divBdr>
        </w:div>
        <w:div w:id="1179083567">
          <w:marLeft w:val="274"/>
          <w:marRight w:val="0"/>
          <w:marTop w:val="150"/>
          <w:marBottom w:val="0"/>
          <w:divBdr>
            <w:top w:val="none" w:sz="0" w:space="0" w:color="auto"/>
            <w:left w:val="none" w:sz="0" w:space="0" w:color="auto"/>
            <w:bottom w:val="none" w:sz="0" w:space="0" w:color="auto"/>
            <w:right w:val="none" w:sz="0" w:space="0" w:color="auto"/>
          </w:divBdr>
        </w:div>
        <w:div w:id="1179083569">
          <w:marLeft w:val="806"/>
          <w:marRight w:val="0"/>
          <w:marTop w:val="75"/>
          <w:marBottom w:val="0"/>
          <w:divBdr>
            <w:top w:val="none" w:sz="0" w:space="0" w:color="auto"/>
            <w:left w:val="none" w:sz="0" w:space="0" w:color="auto"/>
            <w:bottom w:val="none" w:sz="0" w:space="0" w:color="auto"/>
            <w:right w:val="none" w:sz="0" w:space="0" w:color="auto"/>
          </w:divBdr>
        </w:div>
        <w:div w:id="1179083576">
          <w:marLeft w:val="274"/>
          <w:marRight w:val="0"/>
          <w:marTop w:val="150"/>
          <w:marBottom w:val="0"/>
          <w:divBdr>
            <w:top w:val="none" w:sz="0" w:space="0" w:color="auto"/>
            <w:left w:val="none" w:sz="0" w:space="0" w:color="auto"/>
            <w:bottom w:val="none" w:sz="0" w:space="0" w:color="auto"/>
            <w:right w:val="none" w:sz="0" w:space="0" w:color="auto"/>
          </w:divBdr>
        </w:div>
        <w:div w:id="1179083592">
          <w:marLeft w:val="274"/>
          <w:marRight w:val="0"/>
          <w:marTop w:val="150"/>
          <w:marBottom w:val="0"/>
          <w:divBdr>
            <w:top w:val="none" w:sz="0" w:space="0" w:color="auto"/>
            <w:left w:val="none" w:sz="0" w:space="0" w:color="auto"/>
            <w:bottom w:val="none" w:sz="0" w:space="0" w:color="auto"/>
            <w:right w:val="none" w:sz="0" w:space="0" w:color="auto"/>
          </w:divBdr>
        </w:div>
        <w:div w:id="1179083595">
          <w:marLeft w:val="806"/>
          <w:marRight w:val="0"/>
          <w:marTop w:val="75"/>
          <w:marBottom w:val="0"/>
          <w:divBdr>
            <w:top w:val="none" w:sz="0" w:space="0" w:color="auto"/>
            <w:left w:val="none" w:sz="0" w:space="0" w:color="auto"/>
            <w:bottom w:val="none" w:sz="0" w:space="0" w:color="auto"/>
            <w:right w:val="none" w:sz="0" w:space="0" w:color="auto"/>
          </w:divBdr>
        </w:div>
      </w:divsChild>
    </w:div>
    <w:div w:id="1179083549">
      <w:marLeft w:val="0"/>
      <w:marRight w:val="0"/>
      <w:marTop w:val="0"/>
      <w:marBottom w:val="0"/>
      <w:divBdr>
        <w:top w:val="none" w:sz="0" w:space="0" w:color="auto"/>
        <w:left w:val="none" w:sz="0" w:space="0" w:color="auto"/>
        <w:bottom w:val="none" w:sz="0" w:space="0" w:color="auto"/>
        <w:right w:val="none" w:sz="0" w:space="0" w:color="auto"/>
      </w:divBdr>
    </w:div>
    <w:div w:id="1179083550">
      <w:marLeft w:val="0"/>
      <w:marRight w:val="0"/>
      <w:marTop w:val="0"/>
      <w:marBottom w:val="0"/>
      <w:divBdr>
        <w:top w:val="none" w:sz="0" w:space="0" w:color="auto"/>
        <w:left w:val="none" w:sz="0" w:space="0" w:color="auto"/>
        <w:bottom w:val="none" w:sz="0" w:space="0" w:color="auto"/>
        <w:right w:val="none" w:sz="0" w:space="0" w:color="auto"/>
      </w:divBdr>
    </w:div>
    <w:div w:id="1179083551">
      <w:marLeft w:val="0"/>
      <w:marRight w:val="0"/>
      <w:marTop w:val="0"/>
      <w:marBottom w:val="0"/>
      <w:divBdr>
        <w:top w:val="none" w:sz="0" w:space="0" w:color="auto"/>
        <w:left w:val="none" w:sz="0" w:space="0" w:color="auto"/>
        <w:bottom w:val="none" w:sz="0" w:space="0" w:color="auto"/>
        <w:right w:val="none" w:sz="0" w:space="0" w:color="auto"/>
      </w:divBdr>
      <w:divsChild>
        <w:div w:id="1179083553">
          <w:marLeft w:val="0"/>
          <w:marRight w:val="0"/>
          <w:marTop w:val="0"/>
          <w:marBottom w:val="0"/>
          <w:divBdr>
            <w:top w:val="none" w:sz="0" w:space="0" w:color="auto"/>
            <w:left w:val="none" w:sz="0" w:space="0" w:color="auto"/>
            <w:bottom w:val="none" w:sz="0" w:space="0" w:color="auto"/>
            <w:right w:val="none" w:sz="0" w:space="0" w:color="auto"/>
          </w:divBdr>
        </w:div>
        <w:div w:id="1179083571">
          <w:marLeft w:val="0"/>
          <w:marRight w:val="0"/>
          <w:marTop w:val="0"/>
          <w:marBottom w:val="0"/>
          <w:divBdr>
            <w:top w:val="none" w:sz="0" w:space="0" w:color="auto"/>
            <w:left w:val="none" w:sz="0" w:space="0" w:color="auto"/>
            <w:bottom w:val="none" w:sz="0" w:space="0" w:color="auto"/>
            <w:right w:val="none" w:sz="0" w:space="0" w:color="auto"/>
          </w:divBdr>
        </w:div>
        <w:div w:id="1179083581">
          <w:marLeft w:val="0"/>
          <w:marRight w:val="0"/>
          <w:marTop w:val="0"/>
          <w:marBottom w:val="0"/>
          <w:divBdr>
            <w:top w:val="none" w:sz="0" w:space="0" w:color="auto"/>
            <w:left w:val="none" w:sz="0" w:space="0" w:color="auto"/>
            <w:bottom w:val="none" w:sz="0" w:space="0" w:color="auto"/>
            <w:right w:val="none" w:sz="0" w:space="0" w:color="auto"/>
          </w:divBdr>
        </w:div>
      </w:divsChild>
    </w:div>
    <w:div w:id="1179083554">
      <w:marLeft w:val="0"/>
      <w:marRight w:val="0"/>
      <w:marTop w:val="0"/>
      <w:marBottom w:val="0"/>
      <w:divBdr>
        <w:top w:val="none" w:sz="0" w:space="0" w:color="auto"/>
        <w:left w:val="none" w:sz="0" w:space="0" w:color="auto"/>
        <w:bottom w:val="none" w:sz="0" w:space="0" w:color="auto"/>
        <w:right w:val="none" w:sz="0" w:space="0" w:color="auto"/>
      </w:divBdr>
      <w:divsChild>
        <w:div w:id="1179083587">
          <w:marLeft w:val="274"/>
          <w:marRight w:val="0"/>
          <w:marTop w:val="150"/>
          <w:marBottom w:val="0"/>
          <w:divBdr>
            <w:top w:val="none" w:sz="0" w:space="0" w:color="auto"/>
            <w:left w:val="none" w:sz="0" w:space="0" w:color="auto"/>
            <w:bottom w:val="none" w:sz="0" w:space="0" w:color="auto"/>
            <w:right w:val="none" w:sz="0" w:space="0" w:color="auto"/>
          </w:divBdr>
        </w:div>
      </w:divsChild>
    </w:div>
    <w:div w:id="1179083558">
      <w:marLeft w:val="0"/>
      <w:marRight w:val="0"/>
      <w:marTop w:val="0"/>
      <w:marBottom w:val="0"/>
      <w:divBdr>
        <w:top w:val="none" w:sz="0" w:space="0" w:color="auto"/>
        <w:left w:val="none" w:sz="0" w:space="0" w:color="auto"/>
        <w:bottom w:val="none" w:sz="0" w:space="0" w:color="auto"/>
        <w:right w:val="none" w:sz="0" w:space="0" w:color="auto"/>
      </w:divBdr>
      <w:divsChild>
        <w:div w:id="1179083555">
          <w:marLeft w:val="274"/>
          <w:marRight w:val="0"/>
          <w:marTop w:val="150"/>
          <w:marBottom w:val="0"/>
          <w:divBdr>
            <w:top w:val="none" w:sz="0" w:space="0" w:color="auto"/>
            <w:left w:val="none" w:sz="0" w:space="0" w:color="auto"/>
            <w:bottom w:val="none" w:sz="0" w:space="0" w:color="auto"/>
            <w:right w:val="none" w:sz="0" w:space="0" w:color="auto"/>
          </w:divBdr>
        </w:div>
        <w:div w:id="1179083557">
          <w:marLeft w:val="274"/>
          <w:marRight w:val="0"/>
          <w:marTop w:val="150"/>
          <w:marBottom w:val="0"/>
          <w:divBdr>
            <w:top w:val="none" w:sz="0" w:space="0" w:color="auto"/>
            <w:left w:val="none" w:sz="0" w:space="0" w:color="auto"/>
            <w:bottom w:val="none" w:sz="0" w:space="0" w:color="auto"/>
            <w:right w:val="none" w:sz="0" w:space="0" w:color="auto"/>
          </w:divBdr>
        </w:div>
        <w:div w:id="1179083561">
          <w:marLeft w:val="806"/>
          <w:marRight w:val="0"/>
          <w:marTop w:val="75"/>
          <w:marBottom w:val="0"/>
          <w:divBdr>
            <w:top w:val="none" w:sz="0" w:space="0" w:color="auto"/>
            <w:left w:val="none" w:sz="0" w:space="0" w:color="auto"/>
            <w:bottom w:val="none" w:sz="0" w:space="0" w:color="auto"/>
            <w:right w:val="none" w:sz="0" w:space="0" w:color="auto"/>
          </w:divBdr>
        </w:div>
        <w:div w:id="1179083573">
          <w:marLeft w:val="274"/>
          <w:marRight w:val="0"/>
          <w:marTop w:val="150"/>
          <w:marBottom w:val="0"/>
          <w:divBdr>
            <w:top w:val="none" w:sz="0" w:space="0" w:color="auto"/>
            <w:left w:val="none" w:sz="0" w:space="0" w:color="auto"/>
            <w:bottom w:val="none" w:sz="0" w:space="0" w:color="auto"/>
            <w:right w:val="none" w:sz="0" w:space="0" w:color="auto"/>
          </w:divBdr>
        </w:div>
        <w:div w:id="1179083574">
          <w:marLeft w:val="806"/>
          <w:marRight w:val="0"/>
          <w:marTop w:val="75"/>
          <w:marBottom w:val="0"/>
          <w:divBdr>
            <w:top w:val="none" w:sz="0" w:space="0" w:color="auto"/>
            <w:left w:val="none" w:sz="0" w:space="0" w:color="auto"/>
            <w:bottom w:val="none" w:sz="0" w:space="0" w:color="auto"/>
            <w:right w:val="none" w:sz="0" w:space="0" w:color="auto"/>
          </w:divBdr>
        </w:div>
        <w:div w:id="1179083580">
          <w:marLeft w:val="274"/>
          <w:marRight w:val="0"/>
          <w:marTop w:val="150"/>
          <w:marBottom w:val="0"/>
          <w:divBdr>
            <w:top w:val="none" w:sz="0" w:space="0" w:color="auto"/>
            <w:left w:val="none" w:sz="0" w:space="0" w:color="auto"/>
            <w:bottom w:val="none" w:sz="0" w:space="0" w:color="auto"/>
            <w:right w:val="none" w:sz="0" w:space="0" w:color="auto"/>
          </w:divBdr>
        </w:div>
        <w:div w:id="1179083589">
          <w:marLeft w:val="274"/>
          <w:marRight w:val="0"/>
          <w:marTop w:val="150"/>
          <w:marBottom w:val="0"/>
          <w:divBdr>
            <w:top w:val="none" w:sz="0" w:space="0" w:color="auto"/>
            <w:left w:val="none" w:sz="0" w:space="0" w:color="auto"/>
            <w:bottom w:val="none" w:sz="0" w:space="0" w:color="auto"/>
            <w:right w:val="none" w:sz="0" w:space="0" w:color="auto"/>
          </w:divBdr>
        </w:div>
      </w:divsChild>
    </w:div>
    <w:div w:id="1179083562">
      <w:marLeft w:val="0"/>
      <w:marRight w:val="0"/>
      <w:marTop w:val="0"/>
      <w:marBottom w:val="0"/>
      <w:divBdr>
        <w:top w:val="none" w:sz="0" w:space="0" w:color="auto"/>
        <w:left w:val="none" w:sz="0" w:space="0" w:color="auto"/>
        <w:bottom w:val="none" w:sz="0" w:space="0" w:color="auto"/>
        <w:right w:val="none" w:sz="0" w:space="0" w:color="auto"/>
      </w:divBdr>
    </w:div>
    <w:div w:id="1179083563">
      <w:marLeft w:val="0"/>
      <w:marRight w:val="0"/>
      <w:marTop w:val="0"/>
      <w:marBottom w:val="0"/>
      <w:divBdr>
        <w:top w:val="none" w:sz="0" w:space="0" w:color="auto"/>
        <w:left w:val="none" w:sz="0" w:space="0" w:color="auto"/>
        <w:bottom w:val="none" w:sz="0" w:space="0" w:color="auto"/>
        <w:right w:val="none" w:sz="0" w:space="0" w:color="auto"/>
      </w:divBdr>
      <w:divsChild>
        <w:div w:id="1179083565">
          <w:marLeft w:val="0"/>
          <w:marRight w:val="0"/>
          <w:marTop w:val="0"/>
          <w:marBottom w:val="0"/>
          <w:divBdr>
            <w:top w:val="none" w:sz="0" w:space="0" w:color="auto"/>
            <w:left w:val="none" w:sz="0" w:space="0" w:color="auto"/>
            <w:bottom w:val="none" w:sz="0" w:space="0" w:color="auto"/>
            <w:right w:val="none" w:sz="0" w:space="0" w:color="auto"/>
          </w:divBdr>
        </w:div>
        <w:div w:id="1179083582">
          <w:marLeft w:val="0"/>
          <w:marRight w:val="0"/>
          <w:marTop w:val="0"/>
          <w:marBottom w:val="0"/>
          <w:divBdr>
            <w:top w:val="none" w:sz="0" w:space="0" w:color="auto"/>
            <w:left w:val="none" w:sz="0" w:space="0" w:color="auto"/>
            <w:bottom w:val="none" w:sz="0" w:space="0" w:color="auto"/>
            <w:right w:val="none" w:sz="0" w:space="0" w:color="auto"/>
          </w:divBdr>
        </w:div>
      </w:divsChild>
    </w:div>
    <w:div w:id="1179083564">
      <w:marLeft w:val="0"/>
      <w:marRight w:val="0"/>
      <w:marTop w:val="0"/>
      <w:marBottom w:val="0"/>
      <w:divBdr>
        <w:top w:val="none" w:sz="0" w:space="0" w:color="auto"/>
        <w:left w:val="none" w:sz="0" w:space="0" w:color="auto"/>
        <w:bottom w:val="none" w:sz="0" w:space="0" w:color="auto"/>
        <w:right w:val="none" w:sz="0" w:space="0" w:color="auto"/>
      </w:divBdr>
    </w:div>
    <w:div w:id="1179083566">
      <w:marLeft w:val="0"/>
      <w:marRight w:val="0"/>
      <w:marTop w:val="0"/>
      <w:marBottom w:val="0"/>
      <w:divBdr>
        <w:top w:val="none" w:sz="0" w:space="0" w:color="auto"/>
        <w:left w:val="none" w:sz="0" w:space="0" w:color="auto"/>
        <w:bottom w:val="none" w:sz="0" w:space="0" w:color="auto"/>
        <w:right w:val="none" w:sz="0" w:space="0" w:color="auto"/>
      </w:divBdr>
    </w:div>
    <w:div w:id="1179083568">
      <w:marLeft w:val="0"/>
      <w:marRight w:val="0"/>
      <w:marTop w:val="0"/>
      <w:marBottom w:val="0"/>
      <w:divBdr>
        <w:top w:val="none" w:sz="0" w:space="0" w:color="auto"/>
        <w:left w:val="none" w:sz="0" w:space="0" w:color="auto"/>
        <w:bottom w:val="none" w:sz="0" w:space="0" w:color="auto"/>
        <w:right w:val="none" w:sz="0" w:space="0" w:color="auto"/>
      </w:divBdr>
      <w:divsChild>
        <w:div w:id="1179083546">
          <w:marLeft w:val="274"/>
          <w:marRight w:val="0"/>
          <w:marTop w:val="150"/>
          <w:marBottom w:val="0"/>
          <w:divBdr>
            <w:top w:val="none" w:sz="0" w:space="0" w:color="auto"/>
            <w:left w:val="none" w:sz="0" w:space="0" w:color="auto"/>
            <w:bottom w:val="none" w:sz="0" w:space="0" w:color="auto"/>
            <w:right w:val="none" w:sz="0" w:space="0" w:color="auto"/>
          </w:divBdr>
        </w:div>
        <w:div w:id="1179083556">
          <w:marLeft w:val="274"/>
          <w:marRight w:val="0"/>
          <w:marTop w:val="150"/>
          <w:marBottom w:val="0"/>
          <w:divBdr>
            <w:top w:val="none" w:sz="0" w:space="0" w:color="auto"/>
            <w:left w:val="none" w:sz="0" w:space="0" w:color="auto"/>
            <w:bottom w:val="none" w:sz="0" w:space="0" w:color="auto"/>
            <w:right w:val="none" w:sz="0" w:space="0" w:color="auto"/>
          </w:divBdr>
        </w:div>
        <w:div w:id="1179083575">
          <w:marLeft w:val="274"/>
          <w:marRight w:val="0"/>
          <w:marTop w:val="150"/>
          <w:marBottom w:val="0"/>
          <w:divBdr>
            <w:top w:val="none" w:sz="0" w:space="0" w:color="auto"/>
            <w:left w:val="none" w:sz="0" w:space="0" w:color="auto"/>
            <w:bottom w:val="none" w:sz="0" w:space="0" w:color="auto"/>
            <w:right w:val="none" w:sz="0" w:space="0" w:color="auto"/>
          </w:divBdr>
        </w:div>
      </w:divsChild>
    </w:div>
    <w:div w:id="1179083570">
      <w:marLeft w:val="0"/>
      <w:marRight w:val="0"/>
      <w:marTop w:val="0"/>
      <w:marBottom w:val="0"/>
      <w:divBdr>
        <w:top w:val="none" w:sz="0" w:space="0" w:color="auto"/>
        <w:left w:val="none" w:sz="0" w:space="0" w:color="auto"/>
        <w:bottom w:val="none" w:sz="0" w:space="0" w:color="auto"/>
        <w:right w:val="none" w:sz="0" w:space="0" w:color="auto"/>
      </w:divBdr>
    </w:div>
    <w:div w:id="1179083577">
      <w:marLeft w:val="0"/>
      <w:marRight w:val="0"/>
      <w:marTop w:val="0"/>
      <w:marBottom w:val="0"/>
      <w:divBdr>
        <w:top w:val="none" w:sz="0" w:space="0" w:color="auto"/>
        <w:left w:val="none" w:sz="0" w:space="0" w:color="auto"/>
        <w:bottom w:val="none" w:sz="0" w:space="0" w:color="auto"/>
        <w:right w:val="none" w:sz="0" w:space="0" w:color="auto"/>
      </w:divBdr>
      <w:divsChild>
        <w:div w:id="1179083543">
          <w:marLeft w:val="806"/>
          <w:marRight w:val="0"/>
          <w:marTop w:val="75"/>
          <w:marBottom w:val="0"/>
          <w:divBdr>
            <w:top w:val="none" w:sz="0" w:space="0" w:color="auto"/>
            <w:left w:val="none" w:sz="0" w:space="0" w:color="auto"/>
            <w:bottom w:val="none" w:sz="0" w:space="0" w:color="auto"/>
            <w:right w:val="none" w:sz="0" w:space="0" w:color="auto"/>
          </w:divBdr>
        </w:div>
        <w:div w:id="1179083545">
          <w:marLeft w:val="274"/>
          <w:marRight w:val="0"/>
          <w:marTop w:val="150"/>
          <w:marBottom w:val="0"/>
          <w:divBdr>
            <w:top w:val="none" w:sz="0" w:space="0" w:color="auto"/>
            <w:left w:val="none" w:sz="0" w:space="0" w:color="auto"/>
            <w:bottom w:val="none" w:sz="0" w:space="0" w:color="auto"/>
            <w:right w:val="none" w:sz="0" w:space="0" w:color="auto"/>
          </w:divBdr>
        </w:div>
        <w:div w:id="1179083583">
          <w:marLeft w:val="274"/>
          <w:marRight w:val="0"/>
          <w:marTop w:val="150"/>
          <w:marBottom w:val="0"/>
          <w:divBdr>
            <w:top w:val="none" w:sz="0" w:space="0" w:color="auto"/>
            <w:left w:val="none" w:sz="0" w:space="0" w:color="auto"/>
            <w:bottom w:val="none" w:sz="0" w:space="0" w:color="auto"/>
            <w:right w:val="none" w:sz="0" w:space="0" w:color="auto"/>
          </w:divBdr>
        </w:div>
        <w:div w:id="1179083585">
          <w:marLeft w:val="806"/>
          <w:marRight w:val="0"/>
          <w:marTop w:val="75"/>
          <w:marBottom w:val="0"/>
          <w:divBdr>
            <w:top w:val="none" w:sz="0" w:space="0" w:color="auto"/>
            <w:left w:val="none" w:sz="0" w:space="0" w:color="auto"/>
            <w:bottom w:val="none" w:sz="0" w:space="0" w:color="auto"/>
            <w:right w:val="none" w:sz="0" w:space="0" w:color="auto"/>
          </w:divBdr>
        </w:div>
        <w:div w:id="1179083586">
          <w:marLeft w:val="274"/>
          <w:marRight w:val="0"/>
          <w:marTop w:val="150"/>
          <w:marBottom w:val="0"/>
          <w:divBdr>
            <w:top w:val="none" w:sz="0" w:space="0" w:color="auto"/>
            <w:left w:val="none" w:sz="0" w:space="0" w:color="auto"/>
            <w:bottom w:val="none" w:sz="0" w:space="0" w:color="auto"/>
            <w:right w:val="none" w:sz="0" w:space="0" w:color="auto"/>
          </w:divBdr>
        </w:div>
        <w:div w:id="1179083591">
          <w:marLeft w:val="274"/>
          <w:marRight w:val="0"/>
          <w:marTop w:val="150"/>
          <w:marBottom w:val="0"/>
          <w:divBdr>
            <w:top w:val="none" w:sz="0" w:space="0" w:color="auto"/>
            <w:left w:val="none" w:sz="0" w:space="0" w:color="auto"/>
            <w:bottom w:val="none" w:sz="0" w:space="0" w:color="auto"/>
            <w:right w:val="none" w:sz="0" w:space="0" w:color="auto"/>
          </w:divBdr>
        </w:div>
        <w:div w:id="1179083593">
          <w:marLeft w:val="274"/>
          <w:marRight w:val="0"/>
          <w:marTop w:val="150"/>
          <w:marBottom w:val="0"/>
          <w:divBdr>
            <w:top w:val="none" w:sz="0" w:space="0" w:color="auto"/>
            <w:left w:val="none" w:sz="0" w:space="0" w:color="auto"/>
            <w:bottom w:val="none" w:sz="0" w:space="0" w:color="auto"/>
            <w:right w:val="none" w:sz="0" w:space="0" w:color="auto"/>
          </w:divBdr>
        </w:div>
      </w:divsChild>
    </w:div>
    <w:div w:id="1179083578">
      <w:marLeft w:val="0"/>
      <w:marRight w:val="0"/>
      <w:marTop w:val="0"/>
      <w:marBottom w:val="0"/>
      <w:divBdr>
        <w:top w:val="none" w:sz="0" w:space="0" w:color="auto"/>
        <w:left w:val="none" w:sz="0" w:space="0" w:color="auto"/>
        <w:bottom w:val="none" w:sz="0" w:space="0" w:color="auto"/>
        <w:right w:val="none" w:sz="0" w:space="0" w:color="auto"/>
      </w:divBdr>
    </w:div>
    <w:div w:id="1179083584">
      <w:marLeft w:val="0"/>
      <w:marRight w:val="0"/>
      <w:marTop w:val="0"/>
      <w:marBottom w:val="0"/>
      <w:divBdr>
        <w:top w:val="none" w:sz="0" w:space="0" w:color="auto"/>
        <w:left w:val="none" w:sz="0" w:space="0" w:color="auto"/>
        <w:bottom w:val="none" w:sz="0" w:space="0" w:color="auto"/>
        <w:right w:val="none" w:sz="0" w:space="0" w:color="auto"/>
      </w:divBdr>
    </w:div>
    <w:div w:id="1179083588">
      <w:marLeft w:val="0"/>
      <w:marRight w:val="0"/>
      <w:marTop w:val="0"/>
      <w:marBottom w:val="0"/>
      <w:divBdr>
        <w:top w:val="none" w:sz="0" w:space="0" w:color="auto"/>
        <w:left w:val="none" w:sz="0" w:space="0" w:color="auto"/>
        <w:bottom w:val="none" w:sz="0" w:space="0" w:color="auto"/>
        <w:right w:val="none" w:sz="0" w:space="0" w:color="auto"/>
      </w:divBdr>
    </w:div>
    <w:div w:id="1179083590">
      <w:marLeft w:val="0"/>
      <w:marRight w:val="0"/>
      <w:marTop w:val="0"/>
      <w:marBottom w:val="0"/>
      <w:divBdr>
        <w:top w:val="none" w:sz="0" w:space="0" w:color="auto"/>
        <w:left w:val="none" w:sz="0" w:space="0" w:color="auto"/>
        <w:bottom w:val="none" w:sz="0" w:space="0" w:color="auto"/>
        <w:right w:val="none" w:sz="0" w:space="0" w:color="auto"/>
      </w:divBdr>
    </w:div>
    <w:div w:id="1179083594">
      <w:marLeft w:val="0"/>
      <w:marRight w:val="0"/>
      <w:marTop w:val="0"/>
      <w:marBottom w:val="0"/>
      <w:divBdr>
        <w:top w:val="none" w:sz="0" w:space="0" w:color="auto"/>
        <w:left w:val="none" w:sz="0" w:space="0" w:color="auto"/>
        <w:bottom w:val="none" w:sz="0" w:space="0" w:color="auto"/>
        <w:right w:val="none" w:sz="0" w:space="0" w:color="auto"/>
      </w:divBdr>
      <w:divsChild>
        <w:div w:id="1179083552">
          <w:marLeft w:val="274"/>
          <w:marRight w:val="0"/>
          <w:marTop w:val="150"/>
          <w:marBottom w:val="0"/>
          <w:divBdr>
            <w:top w:val="none" w:sz="0" w:space="0" w:color="auto"/>
            <w:left w:val="none" w:sz="0" w:space="0" w:color="auto"/>
            <w:bottom w:val="none" w:sz="0" w:space="0" w:color="auto"/>
            <w:right w:val="none" w:sz="0" w:space="0" w:color="auto"/>
          </w:divBdr>
        </w:div>
        <w:div w:id="1179083572">
          <w:marLeft w:val="274"/>
          <w:marRight w:val="0"/>
          <w:marTop w:val="150"/>
          <w:marBottom w:val="0"/>
          <w:divBdr>
            <w:top w:val="none" w:sz="0" w:space="0" w:color="auto"/>
            <w:left w:val="none" w:sz="0" w:space="0" w:color="auto"/>
            <w:bottom w:val="none" w:sz="0" w:space="0" w:color="auto"/>
            <w:right w:val="none" w:sz="0" w:space="0" w:color="auto"/>
          </w:divBdr>
        </w:div>
        <w:div w:id="1179083579">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p.pl/pediatria/praktyka-kliniczna/badania-laboratoryjne/196187,laboratoryjne-badania-przesiewowe-noworodkow-w-polsce" TargetMode="External"/><Relationship Id="rId13" Type="http://schemas.openxmlformats.org/officeDocument/2006/relationships/comments" Target="comments.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idl.org.pl/get-file/77_rekomendacjeeflm-e.pdf" TargetMode="External"/><Relationship Id="rId12" Type="http://schemas.openxmlformats.org/officeDocument/2006/relationships/image" Target="media/image3.png"/><Relationship Id="rId17" Type="http://schemas.openxmlformats.org/officeDocument/2006/relationships/hyperlink" Target="https://www.mp.pl/interna/table/B16.27.3-1." TargetMode="External"/><Relationship Id="rId2" Type="http://schemas.openxmlformats.org/officeDocument/2006/relationships/styles" Target="styles.xml"/><Relationship Id="rId16" Type="http://schemas.openxmlformats.org/officeDocument/2006/relationships/hyperlink" Target="https://www.mp.pl/medycynarodzinna/diagnostyka-kliniczna/badania-pomocnicze/52998,badanie-moczu-za-pomoca-paskow-testowych" TargetMode="External"/><Relationship Id="rId20" Type="http://schemas.openxmlformats.org/officeDocument/2006/relationships/hyperlink" Target="https://www.mp.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labtestsonline.pl/test/elektroforeza-i-immunofiksacja"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eqpPe76ZJu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TotalTime>
  <Pages>12</Pages>
  <Words>2245</Words>
  <Characters>13476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Diagnostyka laboratoryjna w pediatrii – WL III - ćwiczenia</dc:title>
  <dc:subject/>
  <dc:creator>Aleksandra Makarewicz</dc:creator>
  <cp:keywords/>
  <dc:description/>
  <cp:lastModifiedBy>Pati</cp:lastModifiedBy>
  <cp:revision>7</cp:revision>
  <cp:lastPrinted>2022-02-01T10:25:00Z</cp:lastPrinted>
  <dcterms:created xsi:type="dcterms:W3CDTF">2024-02-02T11:33:00Z</dcterms:created>
  <dcterms:modified xsi:type="dcterms:W3CDTF">2024-02-02T12:13:00Z</dcterms:modified>
</cp:coreProperties>
</file>